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38E4233">
      <w:pPr>
        <w:rPr>
          <w:rFonts w:ascii="黑体" w:hAnsi="黑体" w:eastAsia="黑体"/>
          <w:color w:val="000000"/>
          <w:kern w:val="0"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/>
          <w:color w:val="000000"/>
          <w:kern w:val="0"/>
          <w:sz w:val="32"/>
          <w:szCs w:val="32"/>
        </w:rPr>
        <w:t>附件1</w:t>
      </w:r>
    </w:p>
    <w:p w14:paraId="438E846E">
      <w:pPr>
        <w:snapToGrid w:val="0"/>
        <w:ind w:firstLine="600" w:firstLineChars="200"/>
        <w:rPr>
          <w:rFonts w:ascii="仿宋_GB2312" w:hAnsi="宋体"/>
          <w:color w:val="000000"/>
          <w:kern w:val="0"/>
        </w:rPr>
      </w:pPr>
      <w:r>
        <w:rPr>
          <w:rFonts w:hint="eastAsia" w:ascii="仿宋_GB2312" w:hAnsi="宋体"/>
          <w:color w:val="000000"/>
          <w:kern w:val="0"/>
        </w:rPr>
        <w:t xml:space="preserve"> </w:t>
      </w:r>
    </w:p>
    <w:p w14:paraId="66C8C394">
      <w:pPr>
        <w:snapToGrid w:val="0"/>
        <w:jc w:val="center"/>
        <w:rPr>
          <w:rFonts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</w:rPr>
        <w:t>河南省教育科学规划202</w:t>
      </w:r>
      <w:r>
        <w:rPr>
          <w:rFonts w:hint="eastAsia" w:ascii="方正小标宋简体" w:eastAsia="方正小标宋简体"/>
          <w:sz w:val="36"/>
          <w:szCs w:val="36"/>
          <w:lang w:val="en-US" w:eastAsia="zh-CN"/>
        </w:rPr>
        <w:t>6</w:t>
      </w:r>
      <w:r>
        <w:rPr>
          <w:rFonts w:hint="eastAsia" w:ascii="方正小标宋简体" w:eastAsia="方正小标宋简体"/>
          <w:sz w:val="36"/>
          <w:szCs w:val="36"/>
        </w:rPr>
        <w:t>年度</w:t>
      </w:r>
    </w:p>
    <w:p w14:paraId="0DF90D14">
      <w:pPr>
        <w:snapToGrid w:val="0"/>
        <w:jc w:val="center"/>
        <w:rPr>
          <w:rFonts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</w:rPr>
        <w:t>重大课题</w:t>
      </w:r>
      <w:r>
        <w:rPr>
          <w:rFonts w:hint="eastAsia" w:ascii="方正小标宋简体" w:eastAsia="方正小标宋简体"/>
          <w:color w:val="000000"/>
          <w:sz w:val="36"/>
          <w:szCs w:val="36"/>
        </w:rPr>
        <w:t>选题</w:t>
      </w:r>
    </w:p>
    <w:tbl>
      <w:tblPr>
        <w:tblStyle w:val="4"/>
        <w:tblW w:w="9160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60"/>
      </w:tblGrid>
      <w:tr w14:paraId="2B95A1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160" w:type="dxa"/>
            <w:shd w:val="clear" w:color="auto" w:fill="auto"/>
            <w:vAlign w:val="center"/>
          </w:tcPr>
          <w:p w14:paraId="04C2431F">
            <w:pPr>
              <w:widowControl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</w:p>
        </w:tc>
      </w:tr>
      <w:tr w14:paraId="66D51B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160" w:type="dxa"/>
            <w:shd w:val="clear" w:color="auto" w:fill="auto"/>
          </w:tcPr>
          <w:p w14:paraId="7620E3EE">
            <w:pPr>
              <w:widowControl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1.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>党组织领导的学校治理模式创新研究</w:t>
            </w:r>
          </w:p>
        </w:tc>
      </w:tr>
      <w:tr w14:paraId="05604E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160" w:type="dxa"/>
            <w:shd w:val="clear" w:color="auto" w:fill="auto"/>
            <w:noWrap/>
          </w:tcPr>
          <w:p w14:paraId="1FF7ED88">
            <w:pPr>
              <w:widowControl/>
              <w:jc w:val="left"/>
              <w:rPr>
                <w:rFonts w:ascii="仿宋_GB2312" w:hAnsi="等线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2. 支撑教育强省建设的战略性投入机制研究</w:t>
            </w:r>
          </w:p>
        </w:tc>
      </w:tr>
      <w:tr w14:paraId="158CA9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160" w:type="dxa"/>
            <w:shd w:val="clear" w:color="auto" w:fill="auto"/>
          </w:tcPr>
          <w:p w14:paraId="2935F1DE">
            <w:pPr>
              <w:widowControl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3. 面向2035年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>河南省</w:t>
            </w:r>
            <w:r>
              <w:rPr>
                <w:rFonts w:hint="eastAsia"/>
                <w:sz w:val="28"/>
                <w:szCs w:val="28"/>
              </w:rPr>
              <w:t>高等教育布局结构及其调整机制研究</w:t>
            </w:r>
          </w:p>
        </w:tc>
      </w:tr>
      <w:tr w14:paraId="6F16E6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160" w:type="dxa"/>
            <w:shd w:val="clear" w:color="auto" w:fill="auto"/>
          </w:tcPr>
          <w:p w14:paraId="4811D4A0">
            <w:pPr>
              <w:widowControl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4. 面向2035年河南省城乡教育一体化发展研究</w:t>
            </w:r>
          </w:p>
        </w:tc>
      </w:tr>
      <w:tr w14:paraId="682F52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160" w:type="dxa"/>
            <w:shd w:val="clear" w:color="auto" w:fill="auto"/>
          </w:tcPr>
          <w:p w14:paraId="154DE3F8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5. 面向2035年河南省普通高中育人方式改革研究</w:t>
            </w:r>
          </w:p>
        </w:tc>
      </w:tr>
      <w:tr w14:paraId="78AB9B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160" w:type="dxa"/>
            <w:shd w:val="clear" w:color="auto" w:fill="auto"/>
          </w:tcPr>
          <w:p w14:paraId="5048171D">
            <w:pPr>
              <w:widowControl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6. 河南省教育高质量发展体制机制改革研究</w:t>
            </w:r>
          </w:p>
        </w:tc>
      </w:tr>
      <w:tr w14:paraId="375BE5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160" w:type="dxa"/>
            <w:shd w:val="clear" w:color="auto" w:fill="auto"/>
          </w:tcPr>
          <w:p w14:paraId="4B55D868">
            <w:pPr>
              <w:widowControl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7. 河南省智慧教育体系构建与实践路径研究</w:t>
            </w:r>
          </w:p>
        </w:tc>
      </w:tr>
      <w:tr w14:paraId="2723A3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160" w:type="dxa"/>
            <w:shd w:val="clear" w:color="auto" w:fill="auto"/>
          </w:tcPr>
          <w:p w14:paraId="5A8B2552">
            <w:pPr>
              <w:widowControl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8. 河南省教育数字化战略研究</w:t>
            </w:r>
          </w:p>
        </w:tc>
      </w:tr>
      <w:tr w14:paraId="6BEC11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160" w:type="dxa"/>
            <w:shd w:val="clear" w:color="auto" w:fill="auto"/>
          </w:tcPr>
          <w:p w14:paraId="136D874B">
            <w:pPr>
              <w:widowControl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9. 河南省“双一流”创建高校建设成效评估与路径优化研究</w:t>
            </w:r>
          </w:p>
        </w:tc>
      </w:tr>
      <w:tr w14:paraId="3A4759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160" w:type="dxa"/>
            <w:shd w:val="clear" w:color="auto" w:fill="auto"/>
          </w:tcPr>
          <w:p w14:paraId="6D92F82A">
            <w:pPr>
              <w:widowControl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10.大中小学衔接的人工智能素养培养体系研究</w:t>
            </w:r>
          </w:p>
        </w:tc>
      </w:tr>
      <w:tr w14:paraId="676F85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160" w:type="dxa"/>
            <w:shd w:val="clear" w:color="auto" w:fill="auto"/>
          </w:tcPr>
          <w:p w14:paraId="04CA7ECF">
            <w:pPr>
              <w:widowControl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11.河南省健全教育安全风险防控问题研究</w:t>
            </w:r>
          </w:p>
        </w:tc>
      </w:tr>
      <w:tr w14:paraId="30EE50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160" w:type="dxa"/>
            <w:shd w:val="clear" w:color="auto" w:fill="auto"/>
          </w:tcPr>
          <w:p w14:paraId="3ED29D6E">
            <w:pPr>
              <w:widowControl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12.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>河南省</w:t>
            </w:r>
            <w:r>
              <w:rPr>
                <w:rFonts w:hint="eastAsia"/>
                <w:sz w:val="28"/>
                <w:szCs w:val="28"/>
              </w:rPr>
              <w:t>高等教育人才培养与经济社会发展需要适配机制研究</w:t>
            </w:r>
          </w:p>
        </w:tc>
      </w:tr>
      <w:tr w14:paraId="3A2285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160" w:type="dxa"/>
            <w:shd w:val="clear" w:color="auto" w:fill="auto"/>
          </w:tcPr>
          <w:p w14:paraId="1CBDD85F">
            <w:pPr>
              <w:widowControl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13.构建同人口变化相协调的区域教育资源配置空间正义研究</w:t>
            </w:r>
          </w:p>
        </w:tc>
      </w:tr>
      <w:tr w14:paraId="05A9FB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160" w:type="dxa"/>
            <w:shd w:val="clear" w:color="auto" w:fill="auto"/>
          </w:tcPr>
          <w:p w14:paraId="7D4CC838">
            <w:pPr>
              <w:widowControl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14.数字赋能大规模因材施教研究</w:t>
            </w:r>
          </w:p>
        </w:tc>
      </w:tr>
      <w:tr w14:paraId="5436FD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160" w:type="dxa"/>
            <w:shd w:val="clear" w:color="auto" w:fill="auto"/>
          </w:tcPr>
          <w:p w14:paraId="5CB9852D">
            <w:pPr>
              <w:widowControl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15.数智时代青少年道德风险评估与德育应对研究</w:t>
            </w:r>
          </w:p>
        </w:tc>
      </w:tr>
      <w:tr w14:paraId="41489F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160" w:type="dxa"/>
            <w:shd w:val="clear" w:color="auto" w:fill="auto"/>
          </w:tcPr>
          <w:p w14:paraId="7F141A79">
            <w:pPr>
              <w:widowControl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16.有利于青少年成长的网络空间和育人生态研究</w:t>
            </w:r>
          </w:p>
        </w:tc>
      </w:tr>
      <w:tr w14:paraId="28B34A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160" w:type="dxa"/>
            <w:shd w:val="clear" w:color="auto" w:fill="auto"/>
          </w:tcPr>
          <w:p w14:paraId="10585B4D">
            <w:pPr>
              <w:widowControl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17.河南省职业院校办学能力评价研究</w:t>
            </w:r>
          </w:p>
        </w:tc>
      </w:tr>
      <w:tr w14:paraId="53A1AD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160" w:type="dxa"/>
            <w:shd w:val="clear" w:color="auto" w:fill="auto"/>
          </w:tcPr>
          <w:p w14:paraId="78CC6092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18.河南省职普融通的框架体系与推进策略研究</w:t>
            </w:r>
          </w:p>
        </w:tc>
      </w:tr>
      <w:tr w14:paraId="71C51F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160" w:type="dxa"/>
            <w:shd w:val="clear" w:color="auto" w:fill="auto"/>
          </w:tcPr>
          <w:p w14:paraId="29991B9D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19.河南省学前教育高质量发展的治理体系研究</w:t>
            </w:r>
          </w:p>
        </w:tc>
      </w:tr>
      <w:tr w14:paraId="3C7EFE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160" w:type="dxa"/>
            <w:shd w:val="clear" w:color="auto" w:fill="auto"/>
          </w:tcPr>
          <w:p w14:paraId="119C83F5">
            <w:pPr>
              <w:widowControl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20.教育强国背景下河南省民办教育高质量发展问题研究</w:t>
            </w:r>
          </w:p>
        </w:tc>
      </w:tr>
    </w:tbl>
    <w:p w14:paraId="2535FD75">
      <w:pPr>
        <w:ind w:firstLine="600" w:firstLineChars="200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12BA"/>
    <w:rsid w:val="0001375F"/>
    <w:rsid w:val="00146EA6"/>
    <w:rsid w:val="00387A29"/>
    <w:rsid w:val="003B696F"/>
    <w:rsid w:val="00456027"/>
    <w:rsid w:val="005007C2"/>
    <w:rsid w:val="00686255"/>
    <w:rsid w:val="008516A0"/>
    <w:rsid w:val="009D7A73"/>
    <w:rsid w:val="00A012BA"/>
    <w:rsid w:val="00A60988"/>
    <w:rsid w:val="00AA483F"/>
    <w:rsid w:val="00AB3C5E"/>
    <w:rsid w:val="00AC41C0"/>
    <w:rsid w:val="00AF5A30"/>
    <w:rsid w:val="00BD286E"/>
    <w:rsid w:val="00C26B33"/>
    <w:rsid w:val="00C45ED2"/>
    <w:rsid w:val="00D5617D"/>
    <w:rsid w:val="00EF58A7"/>
    <w:rsid w:val="0A355AF7"/>
    <w:rsid w:val="16B36D4D"/>
    <w:rsid w:val="1A850AEC"/>
    <w:rsid w:val="4D1D3598"/>
    <w:rsid w:val="6B5C4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0"/>
      <w:szCs w:val="30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rFonts w:ascii="Times New Roman" w:hAnsi="Times New Roman" w:eastAsia="仿宋_GB2312" w:cs="Times New Roman"/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rFonts w:ascii="Times New Roman" w:hAnsi="Times New Roman" w:eastAsia="仿宋_GB2312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424</Words>
  <Characters>467</Characters>
  <Lines>3</Lines>
  <Paragraphs>1</Paragraphs>
  <TotalTime>4</TotalTime>
  <ScaleCrop>false</ScaleCrop>
  <LinksUpToDate>false</LinksUpToDate>
  <CharactersWithSpaces>477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2023-08-02T08:16:00Z</dcterms:created>
  <dc:creator>Administrator</dc:creator>
  <cp:lastModifiedBy>满目✨</cp:lastModifiedBy>
  <cp:lastPrinted>2025-06-10T01:15:00Z</cp:lastPrinted>
  <dcterms:modified xsi:type="dcterms:W3CDTF">2025-06-17T13:22:18Z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eyJoZGlkIjoiYzI4MzQyODI1Mzg5MzcwNzlmYWNkNGVlNWYyMmEzZDMifQ==</vt:lpwstr>
  </property>
  <property fmtid="{D5CDD505-2E9C-101B-9397-08002B2CF9AE}" pid="3" name="KSOProductBuildVer">
    <vt:lpwstr>2052-12.1.0.20784</vt:lpwstr>
  </property>
  <property fmtid="{D5CDD505-2E9C-101B-9397-08002B2CF9AE}" pid="4" name="ICV">
    <vt:lpwstr>FC610B5CC15E4EEFACA0A8D55FB451F0_13</vt:lpwstr>
  </property>
</Properties>
</file>