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A48B6">
      <w:pPr>
        <w:pStyle w:val="10"/>
        <w:keepNext w:val="0"/>
        <w:keepLines w:val="0"/>
        <w:widowControl/>
        <w:suppressLineNumbers w:val="0"/>
        <w:spacing w:before="105" w:beforeAutospacing="0" w:after="105" w:afterAutospacing="0" w:line="315" w:lineRule="atLeast"/>
        <w:ind w:left="0" w:right="0"/>
        <w:jc w:val="center"/>
        <w:rPr>
          <w:rFonts w:hint="eastAsia" w:ascii="仿宋" w:hAnsi="仿宋" w:eastAsia="仿宋" w:cs="仿宋"/>
          <w:sz w:val="32"/>
          <w:szCs w:val="32"/>
          <w:lang w:val="zh-CN" w:eastAsia="zh-CN" w:bidi="zh-CN"/>
        </w:rPr>
      </w:pPr>
    </w:p>
    <w:p w14:paraId="30B01AB1">
      <w:pPr>
        <w:pStyle w:val="10"/>
        <w:keepNext w:val="0"/>
        <w:keepLines w:val="0"/>
        <w:widowControl/>
        <w:suppressLineNumbers w:val="0"/>
        <w:spacing w:before="105" w:beforeAutospacing="0" w:after="105" w:afterAutospacing="0" w:line="315" w:lineRule="atLeast"/>
        <w:ind w:left="0" w:right="0"/>
        <w:jc w:val="center"/>
        <w:rPr>
          <w:rFonts w:hint="eastAsia" w:ascii="仿宋" w:hAnsi="仿宋" w:eastAsia="仿宋" w:cs="仿宋"/>
          <w:sz w:val="32"/>
          <w:szCs w:val="32"/>
          <w:lang w:val="zh-CN" w:eastAsia="zh-CN" w:bidi="zh-CN"/>
        </w:rPr>
      </w:pPr>
    </w:p>
    <w:p w14:paraId="194F189B">
      <w:pPr>
        <w:pStyle w:val="10"/>
        <w:keepNext w:val="0"/>
        <w:keepLines w:val="0"/>
        <w:widowControl/>
        <w:suppressLineNumbers w:val="0"/>
        <w:spacing w:before="105" w:beforeAutospacing="0" w:after="105" w:afterAutospacing="0" w:line="315" w:lineRule="atLeast"/>
        <w:ind w:left="0" w:right="0"/>
        <w:jc w:val="center"/>
        <w:rPr>
          <w:rFonts w:hint="eastAsia" w:ascii="仿宋" w:hAnsi="仿宋" w:eastAsia="仿宋" w:cs="仿宋"/>
          <w:sz w:val="32"/>
          <w:szCs w:val="32"/>
          <w:lang w:val="zh-CN" w:eastAsia="zh-CN" w:bidi="zh-CN"/>
        </w:rPr>
      </w:pPr>
    </w:p>
    <w:p w14:paraId="1258E47D">
      <w:pPr>
        <w:pStyle w:val="10"/>
        <w:keepNext w:val="0"/>
        <w:keepLines w:val="0"/>
        <w:widowControl/>
        <w:suppressLineNumbers w:val="0"/>
        <w:spacing w:before="105" w:beforeAutospacing="0" w:after="105" w:afterAutospacing="0" w:line="315" w:lineRule="atLeast"/>
        <w:ind w:left="0" w:right="0"/>
        <w:jc w:val="center"/>
        <w:rPr>
          <w:rFonts w:hint="eastAsia" w:ascii="仿宋" w:hAnsi="仿宋" w:eastAsia="仿宋" w:cs="仿宋"/>
          <w:sz w:val="32"/>
          <w:szCs w:val="32"/>
          <w:lang w:val="zh-CN" w:eastAsia="zh-CN" w:bidi="zh-CN"/>
        </w:rPr>
      </w:pPr>
    </w:p>
    <w:p w14:paraId="72014201">
      <w:pPr>
        <w:pStyle w:val="10"/>
        <w:keepNext w:val="0"/>
        <w:keepLines w:val="0"/>
        <w:pageBreakBefore w:val="0"/>
        <w:widowControl/>
        <w:suppressLineNumbers w:val="0"/>
        <w:wordWrap/>
        <w:overflowPunct/>
        <w:topLinePunct w:val="0"/>
        <w:autoSpaceDE/>
        <w:autoSpaceDN/>
        <w:bidi w:val="0"/>
        <w:adjustRightInd/>
        <w:spacing w:before="105" w:beforeAutospacing="0" w:after="105" w:afterAutospacing="0" w:line="560" w:lineRule="exact"/>
        <w:ind w:left="0" w:right="0"/>
        <w:jc w:val="center"/>
        <w:textAlignment w:val="auto"/>
        <w:rPr>
          <w:rFonts w:hint="eastAsia" w:ascii="仿宋" w:hAnsi="仿宋" w:eastAsia="仿宋" w:cs="仿宋"/>
          <w:sz w:val="32"/>
          <w:szCs w:val="32"/>
          <w:lang w:val="en-US" w:eastAsia="zh-CN" w:bidi="zh-CN"/>
        </w:rPr>
      </w:pPr>
      <w:r>
        <w:rPr>
          <w:rFonts w:hint="eastAsia" w:ascii="仿宋" w:hAnsi="仿宋" w:eastAsia="仿宋" w:cs="仿宋"/>
          <w:sz w:val="32"/>
          <w:szCs w:val="32"/>
          <w:lang w:val="en-US" w:eastAsia="zh-CN" w:bidi="zh-CN"/>
        </w:rPr>
        <w:t xml:space="preserve">   </w:t>
      </w:r>
    </w:p>
    <w:p w14:paraId="3591B657">
      <w:pPr>
        <w:pStyle w:val="10"/>
        <w:keepNext w:val="0"/>
        <w:keepLines w:val="0"/>
        <w:pageBreakBefore w:val="0"/>
        <w:widowControl/>
        <w:suppressLineNumbers w:val="0"/>
        <w:kinsoku/>
        <w:wordWrap/>
        <w:overflowPunct/>
        <w:topLinePunct w:val="0"/>
        <w:autoSpaceDE/>
        <w:autoSpaceDN/>
        <w:bidi w:val="0"/>
        <w:adjustRightInd/>
        <w:snapToGrid/>
        <w:spacing w:before="105" w:beforeAutospacing="0" w:after="105" w:afterAutospacing="0" w:line="400" w:lineRule="exact"/>
        <w:ind w:left="0" w:right="0"/>
        <w:jc w:val="center"/>
        <w:textAlignment w:val="auto"/>
        <w:rPr>
          <w:rFonts w:hint="default" w:ascii="仿宋" w:hAnsi="仿宋" w:eastAsia="仿宋" w:cs="仿宋"/>
          <w:sz w:val="32"/>
          <w:szCs w:val="32"/>
          <w:lang w:val="en-US" w:eastAsia="zh-CN" w:bidi="zh-CN"/>
        </w:rPr>
      </w:pPr>
      <w:r>
        <w:rPr>
          <w:rFonts w:hint="eastAsia" w:ascii="仿宋" w:hAnsi="仿宋" w:eastAsia="仿宋" w:cs="仿宋"/>
          <w:sz w:val="32"/>
          <w:szCs w:val="32"/>
          <w:lang w:val="zh-CN" w:eastAsia="zh-CN" w:bidi="zh-CN"/>
        </w:rPr>
        <w:t>豫</w:t>
      </w:r>
      <w:r>
        <w:rPr>
          <w:rFonts w:hint="eastAsia" w:ascii="仿宋" w:hAnsi="仿宋" w:eastAsia="仿宋" w:cs="仿宋"/>
          <w:sz w:val="32"/>
          <w:szCs w:val="32"/>
          <w:lang w:val="en-US" w:eastAsia="zh-CN" w:bidi="zh-CN"/>
        </w:rPr>
        <w:t>女院〔</w:t>
      </w:r>
      <w:r>
        <w:rPr>
          <w:rFonts w:hint="eastAsia" w:ascii="仿宋" w:hAnsi="仿宋" w:eastAsia="仿宋" w:cs="仿宋"/>
          <w:sz w:val="32"/>
          <w:szCs w:val="32"/>
          <w:lang w:val="zh-CN" w:eastAsia="zh-CN" w:bidi="zh-CN"/>
        </w:rPr>
        <w:t>20</w:t>
      </w:r>
      <w:r>
        <w:rPr>
          <w:rFonts w:hint="eastAsia" w:ascii="仿宋" w:hAnsi="仿宋" w:eastAsia="仿宋" w:cs="仿宋"/>
          <w:sz w:val="32"/>
          <w:szCs w:val="32"/>
          <w:lang w:val="en-US" w:eastAsia="zh-CN" w:bidi="zh-CN"/>
        </w:rPr>
        <w:t>24</w:t>
      </w:r>
      <w:r>
        <w:rPr>
          <w:rFonts w:hint="eastAsia" w:ascii="仿宋" w:hAnsi="仿宋" w:eastAsia="仿宋" w:cs="仿宋"/>
          <w:sz w:val="32"/>
          <w:szCs w:val="32"/>
          <w:lang w:val="zh-CN" w:eastAsia="zh-CN" w:bidi="zh-CN"/>
        </w:rPr>
        <w:t>〕</w:t>
      </w:r>
      <w:r>
        <w:rPr>
          <w:rFonts w:hint="eastAsia" w:ascii="仿宋" w:hAnsi="仿宋" w:eastAsia="仿宋" w:cs="仿宋"/>
          <w:sz w:val="32"/>
          <w:szCs w:val="32"/>
          <w:lang w:val="en-US" w:eastAsia="zh-CN" w:bidi="zh-CN"/>
        </w:rPr>
        <w:t>65</w:t>
      </w:r>
      <w:r>
        <w:rPr>
          <w:rFonts w:hint="eastAsia" w:ascii="仿宋" w:hAnsi="仿宋" w:eastAsia="仿宋" w:cs="仿宋"/>
          <w:sz w:val="32"/>
          <w:szCs w:val="32"/>
          <w:lang w:val="zh-CN" w:eastAsia="zh-CN" w:bidi="zh-CN"/>
        </w:rPr>
        <w:t>号</w:t>
      </w:r>
    </w:p>
    <w:p w14:paraId="6FB2227A">
      <w:pPr>
        <w:pStyle w:val="2"/>
        <w:keepNext w:val="0"/>
        <w:keepLines w:val="0"/>
        <w:pageBreakBefore w:val="0"/>
        <w:widowControl/>
        <w:suppressLineNumbers w:val="0"/>
        <w:shd w:val="clear" w:color="auto" w:fill="FFFFFF"/>
        <w:wordWrap/>
        <w:overflowPunct/>
        <w:topLinePunct w:val="0"/>
        <w:autoSpaceDE/>
        <w:autoSpaceDN/>
        <w:bidi w:val="0"/>
        <w:adjustRightInd/>
        <w:spacing w:line="560" w:lineRule="exact"/>
        <w:ind w:left="0" w:firstLine="0"/>
        <w:jc w:val="center"/>
        <w:textAlignment w:val="auto"/>
        <w:rPr>
          <w:rFonts w:hint="eastAsia" w:ascii="宋体" w:hAnsi="宋体" w:eastAsia="宋体" w:cs="宋体"/>
          <w:b/>
          <w:bCs/>
          <w:i w:val="0"/>
          <w:iCs w:val="0"/>
          <w:caps w:val="0"/>
          <w:color w:val="000000"/>
          <w:spacing w:val="-11"/>
          <w:sz w:val="44"/>
          <w:szCs w:val="44"/>
          <w:shd w:val="clear" w:color="auto" w:fill="FFFFFF"/>
        </w:rPr>
      </w:pPr>
    </w:p>
    <w:p w14:paraId="2FC9F4B0">
      <w:pPr>
        <w:jc w:val="center"/>
        <w:rPr>
          <w:rFonts w:hint="eastAsia" w:asciiTheme="majorEastAsia" w:hAnsiTheme="majorEastAsia" w:eastAsiaTheme="majorEastAsia" w:cstheme="majorEastAsia"/>
          <w:b/>
          <w:bCs/>
          <w:spacing w:val="-23"/>
          <w:w w:val="90"/>
          <w:sz w:val="44"/>
          <w:szCs w:val="44"/>
          <w:lang w:val="en-US" w:eastAsia="zh-CN"/>
        </w:rPr>
      </w:pPr>
      <w:r>
        <w:rPr>
          <w:rFonts w:hint="eastAsia" w:asciiTheme="majorEastAsia" w:hAnsiTheme="majorEastAsia" w:eastAsiaTheme="majorEastAsia" w:cstheme="majorEastAsia"/>
          <w:b/>
          <w:bCs/>
          <w:spacing w:val="-23"/>
          <w:w w:val="90"/>
          <w:sz w:val="44"/>
          <w:szCs w:val="44"/>
          <w:lang w:val="en-US" w:eastAsia="zh-CN"/>
        </w:rPr>
        <w:t>关于印发《</w:t>
      </w:r>
      <w:r>
        <w:rPr>
          <w:rFonts w:hint="eastAsia" w:asciiTheme="majorEastAsia" w:hAnsiTheme="majorEastAsia" w:eastAsiaTheme="majorEastAsia" w:cstheme="majorEastAsia"/>
          <w:b/>
          <w:bCs/>
          <w:spacing w:val="-23"/>
          <w:w w:val="90"/>
          <w:sz w:val="44"/>
          <w:szCs w:val="44"/>
        </w:rPr>
        <w:t>河南</w:t>
      </w:r>
      <w:r>
        <w:rPr>
          <w:rFonts w:hint="eastAsia" w:asciiTheme="majorEastAsia" w:hAnsiTheme="majorEastAsia" w:eastAsiaTheme="majorEastAsia" w:cstheme="majorEastAsia"/>
          <w:b/>
          <w:bCs/>
          <w:spacing w:val="-23"/>
          <w:w w:val="90"/>
          <w:sz w:val="44"/>
          <w:szCs w:val="44"/>
          <w:lang w:val="en-US" w:eastAsia="zh-CN"/>
        </w:rPr>
        <w:t>女子职业学院学生</w:t>
      </w:r>
      <w:r>
        <w:rPr>
          <w:rFonts w:hint="eastAsia" w:asciiTheme="majorEastAsia" w:hAnsiTheme="majorEastAsia" w:eastAsiaTheme="majorEastAsia" w:cstheme="majorEastAsia"/>
          <w:b/>
          <w:bCs/>
          <w:spacing w:val="-23"/>
          <w:w w:val="90"/>
          <w:sz w:val="44"/>
          <w:szCs w:val="44"/>
        </w:rPr>
        <w:t>申诉处理办法</w:t>
      </w:r>
      <w:r>
        <w:rPr>
          <w:rFonts w:hint="eastAsia" w:asciiTheme="majorEastAsia" w:hAnsiTheme="majorEastAsia" w:eastAsiaTheme="majorEastAsia" w:cstheme="majorEastAsia"/>
          <w:b/>
          <w:bCs/>
          <w:spacing w:val="-23"/>
          <w:w w:val="90"/>
          <w:sz w:val="44"/>
          <w:szCs w:val="44"/>
          <w:lang w:val="en-US" w:eastAsia="zh-CN"/>
        </w:rPr>
        <w:t>》的</w:t>
      </w:r>
    </w:p>
    <w:p w14:paraId="1B726D5E">
      <w:pPr>
        <w:jc w:val="center"/>
        <w:rPr>
          <w:rFonts w:hint="eastAsia" w:asciiTheme="majorEastAsia" w:hAnsiTheme="majorEastAsia" w:eastAsiaTheme="majorEastAsia" w:cstheme="majorEastAsia"/>
          <w:b/>
          <w:bCs/>
          <w:spacing w:val="-23"/>
          <w:w w:val="90"/>
          <w:sz w:val="44"/>
          <w:szCs w:val="44"/>
          <w:lang w:val="en-US" w:eastAsia="zh-CN"/>
        </w:rPr>
      </w:pPr>
      <w:r>
        <w:rPr>
          <w:rFonts w:hint="eastAsia" w:asciiTheme="majorEastAsia" w:hAnsiTheme="majorEastAsia" w:eastAsiaTheme="majorEastAsia" w:cstheme="majorEastAsia"/>
          <w:b/>
          <w:bCs/>
          <w:spacing w:val="-23"/>
          <w:w w:val="90"/>
          <w:sz w:val="44"/>
          <w:szCs w:val="44"/>
          <w:lang w:val="en-US" w:eastAsia="zh-CN"/>
        </w:rPr>
        <w:t xml:space="preserve">通  </w:t>
      </w:r>
      <w:bookmarkStart w:id="0" w:name="_GoBack"/>
      <w:bookmarkEnd w:id="0"/>
      <w:r>
        <w:rPr>
          <w:rFonts w:hint="eastAsia" w:asciiTheme="majorEastAsia" w:hAnsiTheme="majorEastAsia" w:eastAsiaTheme="majorEastAsia" w:cstheme="majorEastAsia"/>
          <w:b/>
          <w:bCs/>
          <w:spacing w:val="-23"/>
          <w:w w:val="90"/>
          <w:sz w:val="44"/>
          <w:szCs w:val="44"/>
          <w:lang w:val="en-US" w:eastAsia="zh-CN"/>
        </w:rPr>
        <w:t>知</w:t>
      </w:r>
    </w:p>
    <w:p w14:paraId="5E20DD44">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right="0"/>
        <w:jc w:val="left"/>
        <w:textAlignment w:val="auto"/>
        <w:rPr>
          <w:rFonts w:hint="eastAsia" w:ascii="仿宋" w:hAnsi="仿宋" w:eastAsia="仿宋" w:cs="仿宋"/>
          <w:b w:val="0"/>
          <w:bCs w:val="0"/>
          <w:color w:val="auto"/>
          <w:sz w:val="32"/>
          <w:szCs w:val="32"/>
          <w:lang w:val="en-US" w:eastAsia="zh-CN"/>
        </w:rPr>
      </w:pPr>
    </w:p>
    <w:p w14:paraId="35DBB1B2">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right="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校直各单位：</w:t>
      </w:r>
    </w:p>
    <w:p w14:paraId="6224274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b w:val="0"/>
          <w:bCs w:val="0"/>
          <w:color w:val="000000"/>
          <w:spacing w:val="0"/>
          <w:sz w:val="32"/>
          <w:szCs w:val="32"/>
          <w:lang w:val="en-US" w:eastAsia="zh-CN"/>
        </w:rPr>
      </w:pPr>
      <w:r>
        <w:rPr>
          <w:rFonts w:hint="eastAsia" w:ascii="仿宋" w:hAnsi="仿宋" w:eastAsia="仿宋" w:cs="仿宋"/>
          <w:b w:val="0"/>
          <w:bCs w:val="0"/>
          <w:color w:val="000000"/>
          <w:spacing w:val="0"/>
          <w:sz w:val="32"/>
          <w:szCs w:val="32"/>
          <w:lang w:val="en-US" w:eastAsia="zh-CN"/>
        </w:rPr>
        <w:t>《</w:t>
      </w:r>
      <w:r>
        <w:rPr>
          <w:rFonts w:hint="eastAsia" w:ascii="仿宋" w:hAnsi="仿宋" w:eastAsia="仿宋" w:cs="仿宋"/>
          <w:b w:val="0"/>
          <w:bCs w:val="0"/>
          <w:sz w:val="32"/>
          <w:szCs w:val="32"/>
        </w:rPr>
        <w:t>河南</w:t>
      </w:r>
      <w:r>
        <w:rPr>
          <w:rFonts w:hint="eastAsia" w:ascii="仿宋" w:hAnsi="仿宋" w:eastAsia="仿宋" w:cs="仿宋"/>
          <w:b w:val="0"/>
          <w:bCs w:val="0"/>
          <w:sz w:val="32"/>
          <w:szCs w:val="32"/>
          <w:lang w:val="en-US" w:eastAsia="zh-CN"/>
        </w:rPr>
        <w:t>女子职业学院学生</w:t>
      </w:r>
      <w:r>
        <w:rPr>
          <w:rFonts w:hint="eastAsia" w:ascii="仿宋" w:hAnsi="仿宋" w:eastAsia="仿宋" w:cs="仿宋"/>
          <w:b w:val="0"/>
          <w:bCs w:val="0"/>
          <w:sz w:val="32"/>
          <w:szCs w:val="32"/>
        </w:rPr>
        <w:t>申诉处理办法</w:t>
      </w:r>
      <w:r>
        <w:rPr>
          <w:rFonts w:hint="eastAsia" w:ascii="仿宋" w:hAnsi="仿宋" w:eastAsia="仿宋" w:cs="仿宋"/>
          <w:b w:val="0"/>
          <w:bCs w:val="0"/>
          <w:color w:val="000000"/>
          <w:spacing w:val="0"/>
          <w:sz w:val="32"/>
          <w:szCs w:val="32"/>
          <w:lang w:val="en-US" w:eastAsia="zh-CN"/>
        </w:rPr>
        <w:t>》已经校党委（扩大）会审议通过，现印发给你们，请遵照执行。</w:t>
      </w:r>
    </w:p>
    <w:p w14:paraId="5E99CC1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 w:hAnsi="仿宋" w:eastAsia="仿宋" w:cs="仿宋"/>
          <w:b w:val="0"/>
          <w:bCs w:val="0"/>
          <w:color w:val="000000"/>
          <w:spacing w:val="0"/>
          <w:sz w:val="32"/>
          <w:szCs w:val="32"/>
          <w:lang w:val="en-US" w:eastAsia="zh-CN"/>
        </w:rPr>
      </w:pPr>
      <w:r>
        <w:rPr>
          <w:rFonts w:hint="eastAsia" w:ascii="仿宋" w:hAnsi="仿宋" w:eastAsia="仿宋" w:cs="仿宋"/>
          <w:b w:val="0"/>
          <w:bCs w:val="0"/>
          <w:color w:val="000000"/>
          <w:spacing w:val="0"/>
          <w:sz w:val="32"/>
          <w:szCs w:val="32"/>
          <w:lang w:val="en-US" w:eastAsia="zh-CN"/>
        </w:rPr>
        <w:t>特此通知。</w:t>
      </w:r>
    </w:p>
    <w:p w14:paraId="03C151E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auto"/>
        <w:rPr>
          <w:rFonts w:hint="eastAsia" w:ascii="仿宋" w:hAnsi="仿宋" w:eastAsia="仿宋" w:cs="仿宋"/>
          <w:b w:val="0"/>
          <w:bCs w:val="0"/>
          <w:spacing w:val="0"/>
          <w:position w:val="0"/>
          <w:sz w:val="32"/>
          <w:szCs w:val="32"/>
          <w:lang w:val="en-US" w:eastAsia="zh-CN"/>
        </w:rPr>
      </w:pPr>
    </w:p>
    <w:p w14:paraId="3A3C74FA">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仿宋" w:hAnsi="仿宋" w:eastAsia="仿宋" w:cs="仿宋"/>
          <w:b w:val="0"/>
          <w:bCs w:val="0"/>
          <w:color w:val="auto"/>
          <w:spacing w:val="0"/>
          <w:sz w:val="32"/>
          <w:szCs w:val="32"/>
          <w:lang w:val="en-US" w:eastAsia="zh-CN"/>
        </w:rPr>
      </w:pPr>
      <w:r>
        <w:rPr>
          <w:rFonts w:hint="eastAsia" w:ascii="仿宋" w:hAnsi="仿宋" w:eastAsia="仿宋" w:cs="仿宋"/>
          <w:b w:val="0"/>
          <w:bCs w:val="0"/>
          <w:color w:val="auto"/>
          <w:spacing w:val="0"/>
          <w:sz w:val="32"/>
          <w:szCs w:val="32"/>
          <w:lang w:val="en-US" w:eastAsia="zh-CN"/>
        </w:rPr>
        <w:t xml:space="preserve">                           </w:t>
      </w:r>
    </w:p>
    <w:p w14:paraId="248CC11B">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仿宋" w:hAnsi="仿宋" w:eastAsia="仿宋" w:cs="仿宋"/>
          <w:b w:val="0"/>
          <w:bCs w:val="0"/>
          <w:color w:val="auto"/>
          <w:spacing w:val="0"/>
          <w:sz w:val="32"/>
          <w:szCs w:val="32"/>
          <w:lang w:val="en-US" w:eastAsia="zh-CN"/>
        </w:rPr>
      </w:pPr>
      <w:r>
        <w:rPr>
          <w:rFonts w:hint="eastAsia" w:ascii="仿宋" w:hAnsi="仿宋" w:eastAsia="仿宋" w:cs="仿宋"/>
          <w:b w:val="0"/>
          <w:bCs w:val="0"/>
          <w:color w:val="auto"/>
          <w:spacing w:val="0"/>
          <w:sz w:val="32"/>
          <w:szCs w:val="32"/>
          <w:lang w:val="en-US" w:eastAsia="zh-CN"/>
        </w:rPr>
        <w:t xml:space="preserve">                           河南女子职业学院</w:t>
      </w:r>
    </w:p>
    <w:p w14:paraId="7A3FA31F">
      <w:pPr>
        <w:keepNext w:val="0"/>
        <w:keepLines w:val="0"/>
        <w:pageBreakBefore w:val="0"/>
        <w:widowControl/>
        <w:wordWrap/>
        <w:overflowPunct/>
        <w:topLinePunct w:val="0"/>
        <w:bidi w:val="0"/>
        <w:spacing w:line="560" w:lineRule="exact"/>
        <w:ind w:left="0" w:right="0"/>
        <w:jc w:val="right"/>
        <w:textAlignment w:val="auto"/>
        <w:rPr>
          <w:rStyle w:val="16"/>
          <w:rFonts w:ascii="微软雅黑 !important" w:hAnsi="微软雅黑 !important" w:eastAsia="微软雅黑 !important" w:cs="微软雅黑 !important"/>
          <w:bCs/>
          <w:color w:val="auto"/>
          <w:sz w:val="32"/>
          <w:szCs w:val="32"/>
          <w:highlight w:val="none"/>
        </w:rPr>
      </w:pPr>
      <w:r>
        <w:rPr>
          <w:rFonts w:hint="eastAsia" w:ascii="仿宋" w:hAnsi="仿宋" w:eastAsia="仿宋" w:cs="仿宋"/>
          <w:b w:val="0"/>
          <w:bCs w:val="0"/>
          <w:color w:val="auto"/>
          <w:spacing w:val="0"/>
          <w:sz w:val="32"/>
          <w:szCs w:val="32"/>
          <w:lang w:val="en-US" w:eastAsia="zh-CN"/>
        </w:rPr>
        <w:t xml:space="preserve">      2024年7月3日</w:t>
      </w:r>
    </w:p>
    <w:p w14:paraId="3268794B">
      <w:pPr>
        <w:jc w:val="center"/>
        <w:rPr>
          <w:rFonts w:hint="eastAsia" w:asciiTheme="majorEastAsia" w:hAnsiTheme="majorEastAsia" w:eastAsiaTheme="majorEastAsia" w:cstheme="majorEastAsia"/>
          <w:b/>
          <w:bCs/>
          <w:sz w:val="44"/>
          <w:szCs w:val="44"/>
          <w:lang w:val="en-US" w:eastAsia="zh-CN"/>
        </w:rPr>
      </w:pPr>
    </w:p>
    <w:p w14:paraId="276B6EAB">
      <w:pPr>
        <w:keepNext w:val="0"/>
        <w:keepLines w:val="0"/>
        <w:pageBreakBefore w:val="0"/>
        <w:kinsoku/>
        <w:wordWrap/>
        <w:overflowPunct/>
        <w:topLinePunct w:val="0"/>
        <w:autoSpaceDE/>
        <w:autoSpaceDN/>
        <w:bidi w:val="0"/>
        <w:spacing w:line="560" w:lineRule="exact"/>
        <w:jc w:val="center"/>
        <w:textAlignment w:val="auto"/>
        <w:rPr>
          <w:rFonts w:hint="eastAsia" w:ascii="仿宋" w:hAnsi="仿宋" w:eastAsia="仿宋" w:cs="仿宋"/>
          <w:b/>
          <w:bCs/>
          <w:sz w:val="32"/>
          <w:szCs w:val="32"/>
        </w:rPr>
      </w:pPr>
    </w:p>
    <w:p w14:paraId="38E3F100">
      <w:pPr>
        <w:keepNext w:val="0"/>
        <w:keepLines w:val="0"/>
        <w:pageBreakBefore w:val="0"/>
        <w:kinsoku/>
        <w:wordWrap/>
        <w:overflowPunct/>
        <w:topLinePunct w:val="0"/>
        <w:autoSpaceDE/>
        <w:autoSpaceDN/>
        <w:bidi w:val="0"/>
        <w:spacing w:line="540" w:lineRule="exact"/>
        <w:jc w:val="center"/>
        <w:textAlignment w:val="auto"/>
        <w:rPr>
          <w:rFonts w:hint="eastAsia" w:ascii="仿宋" w:hAnsi="仿宋" w:eastAsia="仿宋" w:cs="仿宋"/>
          <w:b/>
          <w:bCs/>
          <w:sz w:val="32"/>
          <w:szCs w:val="32"/>
        </w:rPr>
      </w:pPr>
      <w:r>
        <w:rPr>
          <w:rFonts w:hint="eastAsia" w:asciiTheme="majorEastAsia" w:hAnsiTheme="majorEastAsia" w:eastAsiaTheme="majorEastAsia" w:cstheme="majorEastAsia"/>
          <w:b/>
          <w:bCs/>
          <w:sz w:val="44"/>
          <w:szCs w:val="44"/>
        </w:rPr>
        <w:t>河南</w:t>
      </w:r>
      <w:r>
        <w:rPr>
          <w:rFonts w:hint="eastAsia" w:asciiTheme="majorEastAsia" w:hAnsiTheme="majorEastAsia" w:eastAsiaTheme="majorEastAsia" w:cstheme="majorEastAsia"/>
          <w:b/>
          <w:bCs/>
          <w:sz w:val="44"/>
          <w:szCs w:val="44"/>
          <w:lang w:val="en-US" w:eastAsia="zh-CN"/>
        </w:rPr>
        <w:t>女子职业学院学生</w:t>
      </w:r>
      <w:r>
        <w:rPr>
          <w:rFonts w:hint="eastAsia" w:asciiTheme="majorEastAsia" w:hAnsiTheme="majorEastAsia" w:eastAsiaTheme="majorEastAsia" w:cstheme="majorEastAsia"/>
          <w:b/>
          <w:bCs/>
          <w:sz w:val="44"/>
          <w:szCs w:val="44"/>
        </w:rPr>
        <w:t>申诉处理办法</w:t>
      </w:r>
    </w:p>
    <w:p w14:paraId="30392817">
      <w:pPr>
        <w:keepNext w:val="0"/>
        <w:keepLines w:val="0"/>
        <w:pageBreakBefore w:val="0"/>
        <w:kinsoku/>
        <w:wordWrap/>
        <w:overflowPunct/>
        <w:topLinePunct w:val="0"/>
        <w:autoSpaceDE/>
        <w:autoSpaceDN/>
        <w:bidi w:val="0"/>
        <w:spacing w:line="540" w:lineRule="exact"/>
        <w:jc w:val="center"/>
        <w:textAlignment w:val="auto"/>
        <w:rPr>
          <w:rFonts w:hint="eastAsia" w:ascii="仿宋" w:hAnsi="仿宋" w:eastAsia="仿宋" w:cs="仿宋"/>
          <w:b/>
          <w:bCs/>
          <w:sz w:val="32"/>
          <w:szCs w:val="32"/>
        </w:rPr>
      </w:pPr>
    </w:p>
    <w:p w14:paraId="76B9576B">
      <w:pPr>
        <w:keepNext w:val="0"/>
        <w:keepLines w:val="0"/>
        <w:pageBreakBefore w:val="0"/>
        <w:kinsoku/>
        <w:wordWrap/>
        <w:overflowPunct/>
        <w:topLinePunct w:val="0"/>
        <w:autoSpaceDE/>
        <w:autoSpaceDN/>
        <w:bidi w:val="0"/>
        <w:spacing w:line="54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  则</w:t>
      </w:r>
    </w:p>
    <w:p w14:paraId="074D0C67">
      <w:pPr>
        <w:keepNext w:val="0"/>
        <w:keepLines w:val="0"/>
        <w:pageBreakBefore w:val="0"/>
        <w:kinsoku/>
        <w:wordWrap/>
        <w:overflowPunct/>
        <w:topLinePunct w:val="0"/>
        <w:autoSpaceDE/>
        <w:autoSpaceDN/>
        <w:bidi w:val="0"/>
        <w:adjustRightInd w:val="0"/>
        <w:snapToGrid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为保障学生的合法权益，规范校内学生申诉制度，根据</w:t>
      </w:r>
      <w:r>
        <w:rPr>
          <w:rFonts w:hint="eastAsia" w:ascii="仿宋" w:hAnsi="仿宋" w:eastAsia="仿宋" w:cs="仿宋"/>
          <w:b w:val="0"/>
          <w:bCs w:val="0"/>
          <w:kern w:val="0"/>
          <w:sz w:val="32"/>
          <w:szCs w:val="32"/>
        </w:rPr>
        <w:t>《普通高等学校学生管理规定》（中华人民共和国教育部令第41号）以及国家有关法律、法规，结合学校实际，制定本</w:t>
      </w:r>
      <w:r>
        <w:rPr>
          <w:rFonts w:hint="eastAsia" w:ascii="仿宋" w:hAnsi="仿宋" w:eastAsia="仿宋" w:cs="仿宋"/>
          <w:b w:val="0"/>
          <w:bCs w:val="0"/>
          <w:kern w:val="0"/>
          <w:sz w:val="32"/>
          <w:szCs w:val="32"/>
          <w:lang w:val="en-US" w:eastAsia="zh-CN"/>
        </w:rPr>
        <w:t>办法</w:t>
      </w:r>
      <w:r>
        <w:rPr>
          <w:rFonts w:hint="eastAsia" w:ascii="仿宋" w:hAnsi="仿宋" w:eastAsia="仿宋" w:cs="仿宋"/>
          <w:b w:val="0"/>
          <w:bCs w:val="0"/>
          <w:kern w:val="0"/>
          <w:sz w:val="32"/>
          <w:szCs w:val="32"/>
        </w:rPr>
        <w:t>。</w:t>
      </w:r>
    </w:p>
    <w:p w14:paraId="23DAA3FC">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本办法适用于具有我校学籍学生的申诉处理。</w:t>
      </w:r>
    </w:p>
    <w:p w14:paraId="2D557F38">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学生提出申诉的范围：</w:t>
      </w:r>
    </w:p>
    <w:p w14:paraId="60734D34">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（一）对学校</w:t>
      </w:r>
      <w:r>
        <w:rPr>
          <w:rFonts w:hint="eastAsia" w:ascii="仿宋" w:hAnsi="仿宋" w:eastAsia="仿宋" w:cs="仿宋"/>
          <w:sz w:val="32"/>
          <w:szCs w:val="32"/>
          <w:lang w:val="en-US" w:eastAsia="zh-CN"/>
        </w:rPr>
        <w:t>作出</w:t>
      </w:r>
      <w:r>
        <w:rPr>
          <w:rFonts w:hint="eastAsia" w:ascii="仿宋" w:hAnsi="仿宋" w:eastAsia="仿宋" w:cs="仿宋"/>
          <w:sz w:val="32"/>
          <w:szCs w:val="32"/>
        </w:rPr>
        <w:t>取消入学资格、取消学籍的处理决定有异议的；</w:t>
      </w:r>
    </w:p>
    <w:p w14:paraId="506306EA">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（二）对学校</w:t>
      </w:r>
      <w:r>
        <w:rPr>
          <w:rFonts w:hint="eastAsia" w:ascii="仿宋" w:hAnsi="仿宋" w:eastAsia="仿宋" w:cs="仿宋"/>
          <w:sz w:val="32"/>
          <w:szCs w:val="32"/>
          <w:lang w:val="en-US" w:eastAsia="zh-CN"/>
        </w:rPr>
        <w:t>作出</w:t>
      </w:r>
      <w:r>
        <w:rPr>
          <w:rFonts w:hint="eastAsia" w:ascii="仿宋" w:hAnsi="仿宋" w:eastAsia="仿宋" w:cs="仿宋"/>
          <w:sz w:val="32"/>
          <w:szCs w:val="32"/>
        </w:rPr>
        <w:t>退学的处理决定有异议的；</w:t>
      </w:r>
    </w:p>
    <w:p w14:paraId="64C4D01E">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（三）对学校</w:t>
      </w:r>
      <w:r>
        <w:rPr>
          <w:rFonts w:hint="eastAsia" w:ascii="仿宋" w:hAnsi="仿宋" w:eastAsia="仿宋" w:cs="仿宋"/>
          <w:sz w:val="32"/>
          <w:szCs w:val="32"/>
          <w:lang w:val="en-US" w:eastAsia="zh-CN"/>
        </w:rPr>
        <w:t>作出</w:t>
      </w:r>
      <w:r>
        <w:rPr>
          <w:rFonts w:hint="eastAsia" w:ascii="仿宋" w:hAnsi="仿宋" w:eastAsia="仿宋" w:cs="仿宋"/>
          <w:sz w:val="32"/>
          <w:szCs w:val="32"/>
        </w:rPr>
        <w:t>的纪律处分决定有异议的。</w:t>
      </w:r>
    </w:p>
    <w:p w14:paraId="2268DB55">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处理学生申诉坚持公开、</w:t>
      </w:r>
      <w:r>
        <w:rPr>
          <w:rFonts w:hint="eastAsia" w:ascii="仿宋" w:hAnsi="仿宋" w:eastAsia="仿宋" w:cs="仿宋"/>
          <w:sz w:val="32"/>
          <w:szCs w:val="32"/>
          <w:lang w:val="en-US" w:eastAsia="zh-CN"/>
        </w:rPr>
        <w:t>公正</w:t>
      </w:r>
      <w:r>
        <w:rPr>
          <w:rFonts w:hint="eastAsia" w:ascii="仿宋" w:hAnsi="仿宋" w:eastAsia="仿宋" w:cs="仿宋"/>
          <w:sz w:val="32"/>
          <w:szCs w:val="32"/>
        </w:rPr>
        <w:t>、</w:t>
      </w:r>
      <w:r>
        <w:rPr>
          <w:rFonts w:hint="eastAsia" w:ascii="仿宋" w:hAnsi="仿宋" w:eastAsia="仿宋" w:cs="仿宋"/>
          <w:sz w:val="32"/>
          <w:szCs w:val="32"/>
          <w:lang w:val="en-US" w:eastAsia="zh-CN"/>
        </w:rPr>
        <w:t>公平</w:t>
      </w:r>
      <w:r>
        <w:rPr>
          <w:rFonts w:hint="eastAsia" w:ascii="仿宋" w:hAnsi="仿宋" w:eastAsia="仿宋" w:cs="仿宋"/>
          <w:sz w:val="32"/>
          <w:szCs w:val="32"/>
        </w:rPr>
        <w:t>和实事求是、有错必纠的原则。</w:t>
      </w:r>
    </w:p>
    <w:p w14:paraId="5987154F">
      <w:pPr>
        <w:keepNext w:val="0"/>
        <w:keepLines w:val="0"/>
        <w:pageBreakBefore w:val="0"/>
        <w:kinsoku/>
        <w:wordWrap/>
        <w:overflowPunct/>
        <w:topLinePunct w:val="0"/>
        <w:autoSpaceDE/>
        <w:autoSpaceDN/>
        <w:bidi w:val="0"/>
        <w:spacing w:line="54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第二章 </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申诉处理机构</w:t>
      </w:r>
    </w:p>
    <w:p w14:paraId="2A491C3F">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河南</w:t>
      </w:r>
      <w:r>
        <w:rPr>
          <w:rFonts w:hint="eastAsia" w:ascii="仿宋" w:hAnsi="仿宋" w:eastAsia="仿宋" w:cs="仿宋"/>
          <w:sz w:val="32"/>
          <w:szCs w:val="32"/>
          <w:lang w:val="en-US" w:eastAsia="zh-CN"/>
        </w:rPr>
        <w:t>女子职业学院</w:t>
      </w:r>
      <w:r>
        <w:rPr>
          <w:rFonts w:hint="eastAsia" w:ascii="仿宋" w:hAnsi="仿宋" w:eastAsia="仿宋" w:cs="仿宋"/>
          <w:sz w:val="32"/>
          <w:szCs w:val="32"/>
        </w:rPr>
        <w:t>学生申诉处理委员会（以下简称申诉</w:t>
      </w:r>
      <w:r>
        <w:rPr>
          <w:rFonts w:hint="eastAsia" w:ascii="仿宋" w:hAnsi="仿宋" w:eastAsia="仿宋" w:cs="仿宋"/>
          <w:sz w:val="32"/>
          <w:szCs w:val="32"/>
          <w:lang w:val="en-US" w:eastAsia="zh-CN"/>
        </w:rPr>
        <w:t>处理</w:t>
      </w:r>
      <w:r>
        <w:rPr>
          <w:rFonts w:hint="eastAsia" w:ascii="仿宋" w:hAnsi="仿宋" w:eastAsia="仿宋" w:cs="仿宋"/>
          <w:sz w:val="32"/>
          <w:szCs w:val="32"/>
        </w:rPr>
        <w:t>委员会）是受理学生申诉的专门机构。</w:t>
      </w:r>
    </w:p>
    <w:p w14:paraId="2419A72A">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jc w:val="both"/>
        <w:textAlignment w:val="auto"/>
        <w:rPr>
          <w:rFonts w:hint="eastAsia" w:ascii="仿宋" w:hAnsi="仿宋" w:eastAsia="仿宋" w:cs="仿宋"/>
          <w:color w:val="000000"/>
          <w:kern w:val="0"/>
          <w:sz w:val="32"/>
          <w:szCs w:val="32"/>
          <w:shd w:val="clear" w:color="auto" w:fill="FFFFFF"/>
        </w:rPr>
      </w:pPr>
      <w:r>
        <w:rPr>
          <w:rFonts w:hint="eastAsia" w:ascii="仿宋" w:hAnsi="仿宋" w:eastAsia="仿宋" w:cs="仿宋"/>
          <w:b/>
          <w:bCs/>
          <w:sz w:val="32"/>
          <w:szCs w:val="32"/>
        </w:rPr>
        <w:t>第六条</w:t>
      </w:r>
      <w:r>
        <w:rPr>
          <w:rFonts w:hint="eastAsia" w:ascii="仿宋" w:hAnsi="仿宋" w:eastAsia="仿宋" w:cs="仿宋"/>
          <w:sz w:val="32"/>
          <w:szCs w:val="32"/>
        </w:rPr>
        <w:t xml:space="preserve">  申诉处理委员会</w:t>
      </w:r>
      <w:r>
        <w:rPr>
          <w:rFonts w:hint="eastAsia" w:ascii="仿宋" w:hAnsi="仿宋" w:eastAsia="仿宋" w:cs="仿宋"/>
          <w:color w:val="000000"/>
          <w:kern w:val="0"/>
          <w:sz w:val="32"/>
          <w:szCs w:val="32"/>
          <w:shd w:val="clear" w:color="auto" w:fill="FFFFFF"/>
        </w:rPr>
        <w:t>由分管校领导、职能部门负责人、教师代表、学生代表、负责法律事务的相关机构负责人等组成。</w:t>
      </w:r>
    </w:p>
    <w:p w14:paraId="1A0790C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40" w:lineRule="exact"/>
        <w:ind w:left="0" w:right="0" w:firstLine="645"/>
        <w:jc w:val="left"/>
        <w:textAlignment w:val="auto"/>
        <w:rPr>
          <w:rFonts w:hint="eastAsia"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w:t>
      </w:r>
      <w:r>
        <w:rPr>
          <w:rFonts w:hint="eastAsia" w:ascii="仿宋" w:hAnsi="仿宋" w:eastAsia="仿宋" w:cs="仿宋"/>
          <w:i w:val="0"/>
          <w:iCs w:val="0"/>
          <w:caps w:val="0"/>
          <w:color w:val="000000"/>
          <w:spacing w:val="0"/>
          <w:sz w:val="30"/>
          <w:szCs w:val="30"/>
          <w:shd w:val="clear" w:fill="FFFFFF"/>
        </w:rPr>
        <w:t>学生申诉处理委员会下设办公室，办公室设在</w:t>
      </w:r>
      <w:r>
        <w:rPr>
          <w:rFonts w:hint="eastAsia" w:ascii="仿宋" w:hAnsi="仿宋" w:eastAsia="仿宋" w:cs="仿宋"/>
          <w:i w:val="0"/>
          <w:iCs w:val="0"/>
          <w:caps w:val="0"/>
          <w:color w:val="000000"/>
          <w:spacing w:val="0"/>
          <w:sz w:val="30"/>
          <w:szCs w:val="30"/>
          <w:shd w:val="clear" w:fill="FFFFFF"/>
          <w:lang w:val="en-US" w:eastAsia="zh-CN"/>
        </w:rPr>
        <w:t>学生处，</w:t>
      </w:r>
      <w:r>
        <w:rPr>
          <w:rFonts w:hint="eastAsia" w:ascii="仿宋" w:hAnsi="仿宋" w:eastAsia="仿宋" w:cs="仿宋"/>
          <w:color w:val="000000"/>
          <w:kern w:val="0"/>
          <w:sz w:val="32"/>
          <w:szCs w:val="32"/>
        </w:rPr>
        <w:t>负责学生申诉的日常受理工作。申诉处理委员会办公室有权要求各</w:t>
      </w:r>
      <w:r>
        <w:rPr>
          <w:rFonts w:hint="eastAsia" w:ascii="仿宋" w:hAnsi="仿宋" w:eastAsia="仿宋" w:cs="仿宋"/>
          <w:color w:val="000000"/>
          <w:kern w:val="0"/>
          <w:sz w:val="32"/>
          <w:szCs w:val="32"/>
          <w:lang w:val="en-US" w:eastAsia="zh-CN"/>
        </w:rPr>
        <w:t>学院</w:t>
      </w:r>
      <w:r>
        <w:rPr>
          <w:rFonts w:hint="eastAsia" w:ascii="仿宋" w:hAnsi="仿宋" w:eastAsia="仿宋" w:cs="仿宋"/>
          <w:color w:val="000000"/>
          <w:kern w:val="0"/>
          <w:sz w:val="32"/>
          <w:szCs w:val="32"/>
        </w:rPr>
        <w:t>、各职能部门对申诉过程中的审核调查工作予以协助和配合。</w:t>
      </w:r>
    </w:p>
    <w:p w14:paraId="05610E83">
      <w:pPr>
        <w:keepNext w:val="0"/>
        <w:keepLines w:val="0"/>
        <w:pageBreakBefore w:val="0"/>
        <w:kinsoku/>
        <w:wordWrap/>
        <w:overflowPunct/>
        <w:topLinePunct w:val="0"/>
        <w:autoSpaceDE/>
        <w:autoSpaceDN/>
        <w:bidi w:val="0"/>
        <w:spacing w:line="54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第三章  申诉的受理</w:t>
      </w:r>
    </w:p>
    <w:p w14:paraId="47D17F60">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八</w:t>
      </w:r>
      <w:r>
        <w:rPr>
          <w:rFonts w:hint="eastAsia" w:ascii="仿宋" w:hAnsi="仿宋" w:eastAsia="仿宋" w:cs="仿宋"/>
          <w:b/>
          <w:bCs/>
          <w:sz w:val="32"/>
          <w:szCs w:val="32"/>
        </w:rPr>
        <w:t>条</w:t>
      </w:r>
      <w:r>
        <w:rPr>
          <w:rFonts w:hint="eastAsia" w:ascii="仿宋" w:hAnsi="仿宋" w:eastAsia="仿宋" w:cs="仿宋"/>
          <w:sz w:val="32"/>
          <w:szCs w:val="32"/>
        </w:rPr>
        <w:t xml:space="preserve">  申诉处理程序由提出申诉、受理申诉和作出复查结论三个环节组成。</w:t>
      </w:r>
    </w:p>
    <w:p w14:paraId="3FB10C1C">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九</w:t>
      </w:r>
      <w:r>
        <w:rPr>
          <w:rFonts w:hint="eastAsia" w:ascii="仿宋" w:hAnsi="仿宋" w:eastAsia="仿宋" w:cs="仿宋"/>
          <w:b/>
          <w:bCs/>
          <w:sz w:val="32"/>
          <w:szCs w:val="32"/>
        </w:rPr>
        <w:t>条</w:t>
      </w:r>
      <w:r>
        <w:rPr>
          <w:rFonts w:hint="eastAsia" w:ascii="仿宋" w:hAnsi="仿宋" w:eastAsia="仿宋" w:cs="仿宋"/>
          <w:sz w:val="32"/>
          <w:szCs w:val="32"/>
        </w:rPr>
        <w:t xml:space="preserve">  学生对学校的处理或者处分决定有异议的，可以在接到学校处理或者处分决定书之日起10日内，向学生申诉处理委员会提出书面申诉。</w:t>
      </w:r>
    </w:p>
    <w:p w14:paraId="5EE6E946">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申诉要以书面形式，写明申诉理由及要求，直接报送申诉处理委员会办公室。自决定书送达之日起，学生在申诉期内未提出申诉的，申诉处理委员会不再受理其提出的申诉。</w:t>
      </w:r>
    </w:p>
    <w:p w14:paraId="20205DD4">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处理、处分或者复查决定书未告知学生申诉期限的，申诉期限自学生知道或者应当知道处理或者处分决定之日起计算，但最长不得超过6个月。</w:t>
      </w:r>
    </w:p>
    <w:p w14:paraId="370DBC01">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十</w:t>
      </w:r>
      <w:r>
        <w:rPr>
          <w:rFonts w:hint="eastAsia" w:ascii="仿宋" w:hAnsi="仿宋" w:eastAsia="仿宋" w:cs="仿宋"/>
          <w:b/>
          <w:bCs/>
          <w:sz w:val="32"/>
          <w:szCs w:val="32"/>
        </w:rPr>
        <w:t>条</w:t>
      </w:r>
      <w:r>
        <w:rPr>
          <w:rFonts w:hint="eastAsia" w:ascii="仿宋" w:hAnsi="仿宋" w:eastAsia="仿宋" w:cs="仿宋"/>
          <w:sz w:val="32"/>
          <w:szCs w:val="32"/>
        </w:rPr>
        <w:t xml:space="preserve">  依本办法进行的申诉，不影响当事人依法提起行政复议、行政诉讼或者采取其他合法方式解决争议。法院、仲裁机构或者其他行政机关已经受理或者处理的，不再依本办法提出申诉。在申诉期间，不停止原决定的执行。</w:t>
      </w:r>
    </w:p>
    <w:p w14:paraId="5BC28C74">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条</w:t>
      </w:r>
      <w:r>
        <w:rPr>
          <w:rFonts w:hint="eastAsia" w:ascii="仿宋" w:hAnsi="仿宋" w:eastAsia="仿宋" w:cs="仿宋"/>
          <w:sz w:val="32"/>
          <w:szCs w:val="32"/>
        </w:rPr>
        <w:t xml:space="preserve">  申诉受理的条件：</w:t>
      </w:r>
    </w:p>
    <w:p w14:paraId="2CA019BF">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（一）申诉</w:t>
      </w:r>
      <w:r>
        <w:rPr>
          <w:rFonts w:hint="eastAsia" w:ascii="仿宋" w:hAnsi="仿宋" w:eastAsia="仿宋" w:cs="仿宋"/>
          <w:sz w:val="32"/>
          <w:szCs w:val="32"/>
          <w:lang w:val="en-US" w:eastAsia="zh-CN"/>
        </w:rPr>
        <w:t>人</w:t>
      </w:r>
      <w:r>
        <w:rPr>
          <w:rFonts w:hint="eastAsia" w:ascii="仿宋" w:hAnsi="仿宋" w:eastAsia="仿宋" w:cs="仿宋"/>
          <w:sz w:val="32"/>
          <w:szCs w:val="32"/>
        </w:rPr>
        <w:t>认为学校原决定适用依据错误的；</w:t>
      </w:r>
    </w:p>
    <w:p w14:paraId="056BF659">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（二）申诉</w:t>
      </w:r>
      <w:r>
        <w:rPr>
          <w:rFonts w:hint="eastAsia" w:ascii="仿宋" w:hAnsi="仿宋" w:eastAsia="仿宋" w:cs="仿宋"/>
          <w:sz w:val="32"/>
          <w:szCs w:val="32"/>
          <w:lang w:val="en-US" w:eastAsia="zh-CN"/>
        </w:rPr>
        <w:t>人</w:t>
      </w:r>
      <w:r>
        <w:rPr>
          <w:rFonts w:hint="eastAsia" w:ascii="仿宋" w:hAnsi="仿宋" w:eastAsia="仿宋" w:cs="仿宋"/>
          <w:sz w:val="32"/>
          <w:szCs w:val="32"/>
        </w:rPr>
        <w:t>认为学校原决定程序不符合规定的；</w:t>
      </w:r>
    </w:p>
    <w:p w14:paraId="4EF94C6A">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（三）申诉</w:t>
      </w:r>
      <w:r>
        <w:rPr>
          <w:rFonts w:hint="eastAsia" w:ascii="仿宋" w:hAnsi="仿宋" w:eastAsia="仿宋" w:cs="仿宋"/>
          <w:sz w:val="32"/>
          <w:szCs w:val="32"/>
          <w:lang w:val="en-US" w:eastAsia="zh-CN"/>
        </w:rPr>
        <w:t>人</w:t>
      </w:r>
      <w:r>
        <w:rPr>
          <w:rFonts w:hint="eastAsia" w:ascii="仿宋" w:hAnsi="仿宋" w:eastAsia="仿宋" w:cs="仿宋"/>
          <w:sz w:val="32"/>
          <w:szCs w:val="32"/>
        </w:rPr>
        <w:t>认为学校原决定依据的事实不清或证据不足的。</w:t>
      </w:r>
    </w:p>
    <w:p w14:paraId="69003FE3">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条</w:t>
      </w:r>
      <w:r>
        <w:rPr>
          <w:rFonts w:hint="eastAsia" w:ascii="仿宋" w:hAnsi="仿宋" w:eastAsia="仿宋" w:cs="仿宋"/>
          <w:sz w:val="32"/>
          <w:szCs w:val="32"/>
        </w:rPr>
        <w:t xml:space="preserve">  申诉</w:t>
      </w:r>
      <w:r>
        <w:rPr>
          <w:rFonts w:hint="eastAsia" w:ascii="仿宋" w:hAnsi="仿宋" w:eastAsia="仿宋" w:cs="仿宋"/>
          <w:sz w:val="32"/>
          <w:szCs w:val="32"/>
          <w:lang w:val="en-US" w:eastAsia="zh-CN"/>
        </w:rPr>
        <w:t>人</w:t>
      </w:r>
      <w:r>
        <w:rPr>
          <w:rFonts w:hint="eastAsia" w:ascii="仿宋" w:hAnsi="仿宋" w:eastAsia="仿宋" w:cs="仿宋"/>
          <w:sz w:val="32"/>
          <w:szCs w:val="32"/>
        </w:rPr>
        <w:t>提出申诉时，应当向申诉处理委员会办公室递交申诉书和原决定书的复印件或原决定的有关证明材料。申诉书应当载明下列内容：</w:t>
      </w:r>
    </w:p>
    <w:p w14:paraId="07FF9E56">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（一）申诉人的基本信息及联系方式；</w:t>
      </w:r>
    </w:p>
    <w:p w14:paraId="7168242A">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（二）申诉的事项、理由及要求；</w:t>
      </w:r>
    </w:p>
    <w:p w14:paraId="5E0F71F4">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（三）提出申诉的日期。</w:t>
      </w:r>
    </w:p>
    <w:p w14:paraId="152E38D2">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条</w:t>
      </w:r>
      <w:r>
        <w:rPr>
          <w:rFonts w:hint="eastAsia" w:ascii="仿宋" w:hAnsi="仿宋" w:eastAsia="仿宋" w:cs="仿宋"/>
          <w:sz w:val="32"/>
          <w:szCs w:val="32"/>
        </w:rPr>
        <w:t xml:space="preserve">  申诉的受理。申诉处理委员会办公室接到申诉书后，应当及时对申诉人的资格和申诉条件进行审查，区别不同情况，分别做出如下处理：</w:t>
      </w:r>
    </w:p>
    <w:p w14:paraId="346AA0F7">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（一）对于符合申诉条件的应当登记受理；</w:t>
      </w:r>
    </w:p>
    <w:p w14:paraId="451A7AF9">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（二）对于不符合申诉条件的，向申诉人做出不予受理的决定；</w:t>
      </w:r>
    </w:p>
    <w:p w14:paraId="7C09E6C0">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申诉书内容或者材料欠缺的，申诉处理委员会办公室应当一次性全面告知当事人需要补正的内容、补充的材料及期限。在指定期限内补正并符合申诉条件的，应当登记受理。当事人拒绝补正或者经补正仍不符合</w:t>
      </w:r>
      <w:r>
        <w:rPr>
          <w:rFonts w:hint="eastAsia" w:ascii="仿宋" w:hAnsi="仿宋" w:eastAsia="仿宋" w:cs="仿宋"/>
          <w:sz w:val="32"/>
          <w:szCs w:val="32"/>
          <w:lang w:val="en-US" w:eastAsia="zh-CN"/>
        </w:rPr>
        <w:t>申</w:t>
      </w:r>
      <w:r>
        <w:rPr>
          <w:rFonts w:hint="eastAsia" w:ascii="仿宋" w:hAnsi="仿宋" w:eastAsia="仿宋" w:cs="仿宋"/>
          <w:sz w:val="32"/>
          <w:szCs w:val="32"/>
        </w:rPr>
        <w:t>诉条件的，决定不予受理，并载明不予受理的理由。</w:t>
      </w:r>
    </w:p>
    <w:p w14:paraId="40B99CF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申诉处理委员会应当在接到申诉书之日起5日内，</w:t>
      </w:r>
      <w:r>
        <w:rPr>
          <w:rFonts w:hint="eastAsia" w:ascii="仿宋" w:hAnsi="仿宋" w:eastAsia="仿宋" w:cs="仿宋"/>
          <w:sz w:val="32"/>
          <w:szCs w:val="32"/>
          <w:lang w:val="en-US" w:eastAsia="zh-CN"/>
        </w:rPr>
        <w:t>作</w:t>
      </w:r>
      <w:r>
        <w:rPr>
          <w:rFonts w:hint="eastAsia" w:ascii="仿宋" w:hAnsi="仿宋" w:eastAsia="仿宋" w:cs="仿宋"/>
          <w:sz w:val="32"/>
          <w:szCs w:val="32"/>
        </w:rPr>
        <w:t>出受理或者不予受理的书面决定，并告知和送达申诉人。对申诉材料不齐全的，可以要求申诉人于5日内补充，逾期不补充的视为放弃，不得再依本办法提出申诉。</w:t>
      </w:r>
    </w:p>
    <w:p w14:paraId="49D6708F">
      <w:pPr>
        <w:keepNext w:val="0"/>
        <w:keepLines w:val="0"/>
        <w:pageBreakBefore w:val="0"/>
        <w:numPr>
          <w:ilvl w:val="0"/>
          <w:numId w:val="0"/>
        </w:numPr>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下列申诉不予受理：</w:t>
      </w:r>
    </w:p>
    <w:p w14:paraId="616872BF">
      <w:pPr>
        <w:keepNext w:val="0"/>
        <w:keepLines w:val="0"/>
        <w:pageBreakBefore w:val="0"/>
        <w:numPr>
          <w:ilvl w:val="0"/>
          <w:numId w:val="0"/>
        </w:numPr>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（一）不属于申诉范围或超过申诉期限的；</w:t>
      </w:r>
    </w:p>
    <w:p w14:paraId="2A2EFD47">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（二）自动撤回申诉无正当理由又重新提起</w:t>
      </w:r>
      <w:r>
        <w:rPr>
          <w:rFonts w:hint="eastAsia" w:ascii="仿宋" w:hAnsi="仿宋" w:eastAsia="仿宋" w:cs="仿宋"/>
          <w:sz w:val="32"/>
          <w:szCs w:val="32"/>
          <w:lang w:val="en-US" w:eastAsia="zh-CN"/>
        </w:rPr>
        <w:t>申诉</w:t>
      </w:r>
      <w:r>
        <w:rPr>
          <w:rFonts w:hint="eastAsia" w:ascii="仿宋" w:hAnsi="仿宋" w:eastAsia="仿宋" w:cs="仿宋"/>
          <w:sz w:val="32"/>
          <w:szCs w:val="32"/>
        </w:rPr>
        <w:t>的；</w:t>
      </w:r>
    </w:p>
    <w:p w14:paraId="20109CE9">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（三）接到申诉处理决定后，就同一事实和理由再次提起申诉的；</w:t>
      </w:r>
    </w:p>
    <w:p w14:paraId="361C0237">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（四）已就申诉事项申请行政复议或者提起诉讼并已被受理的；</w:t>
      </w:r>
    </w:p>
    <w:p w14:paraId="421C98DD">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（五）法律、法规</w:t>
      </w:r>
      <w:r>
        <w:rPr>
          <w:rFonts w:hint="eastAsia" w:ascii="仿宋" w:hAnsi="仿宋" w:eastAsia="仿宋" w:cs="仿宋"/>
          <w:sz w:val="32"/>
          <w:szCs w:val="32"/>
          <w:lang w:val="en-US" w:eastAsia="zh-CN"/>
        </w:rPr>
        <w:t>等</w:t>
      </w:r>
      <w:r>
        <w:rPr>
          <w:rFonts w:hint="eastAsia" w:ascii="仿宋" w:hAnsi="仿宋" w:eastAsia="仿宋" w:cs="仿宋"/>
          <w:sz w:val="32"/>
          <w:szCs w:val="32"/>
        </w:rPr>
        <w:t>规定不予受理的。</w:t>
      </w:r>
    </w:p>
    <w:p w14:paraId="69B6400F">
      <w:pPr>
        <w:keepNext w:val="0"/>
        <w:keepLines w:val="0"/>
        <w:pageBreakBefore w:val="0"/>
        <w:kinsoku/>
        <w:wordWrap/>
        <w:overflowPunct/>
        <w:topLinePunct w:val="0"/>
        <w:autoSpaceDE/>
        <w:autoSpaceDN/>
        <w:bidi w:val="0"/>
        <w:spacing w:line="54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第四章  申诉的处理</w:t>
      </w:r>
    </w:p>
    <w:p w14:paraId="7600DDF4">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条</w:t>
      </w:r>
      <w:r>
        <w:rPr>
          <w:rFonts w:hint="eastAsia" w:ascii="仿宋" w:hAnsi="仿宋" w:eastAsia="仿宋" w:cs="仿宋"/>
          <w:sz w:val="32"/>
          <w:szCs w:val="32"/>
        </w:rPr>
        <w:t xml:space="preserve">  申诉处理委员会在接到书面申诉之日起15日内，对受理的申诉进行复查，根据不同情况，分别做出维持原决定或改变原决定的复查决定。情况复杂不能在规定限期内作出结论的，经学校负责人批准，可延长15日。学生申诉处理委员会认为必要的，可以建议学校暂缓执行有关规定。</w:t>
      </w:r>
    </w:p>
    <w:p w14:paraId="2860FB1B">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条</w:t>
      </w:r>
      <w:r>
        <w:rPr>
          <w:rFonts w:hint="eastAsia" w:ascii="仿宋" w:hAnsi="仿宋" w:eastAsia="仿宋" w:cs="仿宋"/>
          <w:sz w:val="32"/>
          <w:szCs w:val="32"/>
        </w:rPr>
        <w:t xml:space="preserve">  复查决定对</w:t>
      </w:r>
      <w:r>
        <w:rPr>
          <w:rFonts w:hint="eastAsia" w:ascii="仿宋" w:hAnsi="仿宋" w:eastAsia="仿宋" w:cs="仿宋"/>
          <w:kern w:val="0"/>
          <w:sz w:val="32"/>
          <w:szCs w:val="32"/>
        </w:rPr>
        <w:t>取消入学资格、取消学籍</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退学处理、留校察看处分、开除学籍处分</w:t>
      </w:r>
      <w:r>
        <w:rPr>
          <w:rFonts w:hint="eastAsia" w:ascii="仿宋" w:hAnsi="仿宋" w:eastAsia="仿宋" w:cs="仿宋"/>
          <w:sz w:val="32"/>
          <w:szCs w:val="32"/>
        </w:rPr>
        <w:t>决定需要改变的，须由申诉处理委员会提交校长办公会重新研究决定；复查决定对留校察看以下纪律处分决定需要改变的，交由原处分决定部门重新研究决定。</w:t>
      </w:r>
    </w:p>
    <w:p w14:paraId="6F9DD0E5">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十七</w:t>
      </w:r>
      <w:r>
        <w:rPr>
          <w:rFonts w:hint="eastAsia" w:ascii="仿宋" w:hAnsi="仿宋" w:eastAsia="仿宋" w:cs="仿宋"/>
          <w:b/>
          <w:bCs/>
          <w:sz w:val="32"/>
          <w:szCs w:val="32"/>
        </w:rPr>
        <w:t>条</w:t>
      </w:r>
      <w:r>
        <w:rPr>
          <w:rFonts w:hint="eastAsia" w:ascii="仿宋" w:hAnsi="仿宋" w:eastAsia="仿宋" w:cs="仿宋"/>
          <w:sz w:val="32"/>
          <w:szCs w:val="32"/>
        </w:rPr>
        <w:t xml:space="preserve">  申诉复查决定由申诉处理委员会办公室书面送达申诉人和原决定做出部门。</w:t>
      </w:r>
    </w:p>
    <w:p w14:paraId="2EE184C8">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十八</w:t>
      </w:r>
      <w:r>
        <w:rPr>
          <w:rFonts w:hint="eastAsia" w:ascii="仿宋" w:hAnsi="仿宋" w:eastAsia="仿宋" w:cs="仿宋"/>
          <w:b/>
          <w:bCs/>
          <w:sz w:val="32"/>
          <w:szCs w:val="32"/>
        </w:rPr>
        <w:t>条</w:t>
      </w:r>
      <w:r>
        <w:rPr>
          <w:rFonts w:hint="eastAsia" w:ascii="仿宋" w:hAnsi="仿宋" w:eastAsia="仿宋" w:cs="仿宋"/>
          <w:sz w:val="32"/>
          <w:szCs w:val="32"/>
        </w:rPr>
        <w:t xml:space="preserve">  学生对复查决定有异议的，在接到学校复查决定书之日起15日内，可以向</w:t>
      </w:r>
      <w:r>
        <w:rPr>
          <w:rFonts w:hint="eastAsia" w:ascii="仿宋" w:hAnsi="仿宋" w:eastAsia="仿宋" w:cs="仿宋"/>
          <w:sz w:val="32"/>
          <w:szCs w:val="32"/>
          <w:lang w:val="en-US" w:eastAsia="zh-CN"/>
        </w:rPr>
        <w:t>河南省</w:t>
      </w:r>
      <w:r>
        <w:rPr>
          <w:rFonts w:hint="eastAsia" w:ascii="仿宋" w:hAnsi="仿宋" w:eastAsia="仿宋" w:cs="仿宋"/>
          <w:sz w:val="32"/>
          <w:szCs w:val="32"/>
        </w:rPr>
        <w:t>教育行政部门提出书面申诉。</w:t>
      </w:r>
    </w:p>
    <w:p w14:paraId="0A4C8012">
      <w:pPr>
        <w:keepNext w:val="0"/>
        <w:keepLines w:val="0"/>
        <w:pageBreakBefore w:val="0"/>
        <w:kinsoku/>
        <w:wordWrap/>
        <w:overflowPunct/>
        <w:topLinePunct w:val="0"/>
        <w:autoSpaceDE/>
        <w:autoSpaceDN/>
        <w:bidi w:val="0"/>
        <w:spacing w:line="54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章  申诉处理委员会工作规则</w:t>
      </w:r>
    </w:p>
    <w:p w14:paraId="01A94241">
      <w:pPr>
        <w:keepNext w:val="0"/>
        <w:keepLines w:val="0"/>
        <w:pageBreakBefore w:val="0"/>
        <w:kinsoku/>
        <w:wordWrap/>
        <w:overflowPunct/>
        <w:topLinePunct w:val="0"/>
        <w:autoSpaceDE/>
        <w:autoSpaceDN/>
        <w:bidi w:val="0"/>
        <w:spacing w:line="540" w:lineRule="exact"/>
        <w:ind w:firstLine="643" w:firstLineChars="200"/>
        <w:jc w:val="both"/>
        <w:textAlignment w:val="auto"/>
        <w:rPr>
          <w:rFonts w:hint="eastAsia" w:ascii="仿宋" w:hAnsi="仿宋" w:eastAsia="仿宋" w:cs="仿宋"/>
          <w:b w:val="0"/>
          <w:bCs w:val="0"/>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十九</w:t>
      </w:r>
      <w:r>
        <w:rPr>
          <w:rFonts w:hint="eastAsia" w:ascii="仿宋" w:hAnsi="仿宋" w:eastAsia="仿宋" w:cs="仿宋"/>
          <w:b/>
          <w:bCs/>
          <w:sz w:val="32"/>
          <w:szCs w:val="32"/>
        </w:rPr>
        <w:t>条</w:t>
      </w:r>
      <w:r>
        <w:rPr>
          <w:rFonts w:hint="eastAsia" w:ascii="仿宋" w:hAnsi="仿宋" w:eastAsia="仿宋" w:cs="仿宋"/>
          <w:b w:val="0"/>
          <w:bCs w:val="0"/>
          <w:sz w:val="32"/>
          <w:szCs w:val="32"/>
        </w:rPr>
        <w:t xml:space="preserve">  学生申诉处理委员会会议须同时具备以下两个条件为有效：</w:t>
      </w:r>
    </w:p>
    <w:p w14:paraId="3526F990">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（一）超过三分之二委员到会；</w:t>
      </w:r>
    </w:p>
    <w:p w14:paraId="7A86E818">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（二）到会委员中教师代表和学生代表不少于</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人。</w:t>
      </w:r>
    </w:p>
    <w:p w14:paraId="5C8EA2DE">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申诉人应当出席申诉处理委员会会议。确有特殊原因不能出席的，经本人申请，学生申诉处理委员会可采取书面审议的方式进行复查。</w:t>
      </w:r>
    </w:p>
    <w:p w14:paraId="4A62C948">
      <w:pPr>
        <w:keepNext w:val="0"/>
        <w:keepLines w:val="0"/>
        <w:pageBreakBefore w:val="0"/>
        <w:kinsoku/>
        <w:wordWrap/>
        <w:overflowPunct/>
        <w:topLinePunct w:val="0"/>
        <w:autoSpaceDE/>
        <w:autoSpaceDN/>
        <w:bidi w:val="0"/>
        <w:spacing w:line="540" w:lineRule="exact"/>
        <w:ind w:firstLine="643" w:firstLineChars="200"/>
        <w:jc w:val="both"/>
        <w:textAlignment w:val="auto"/>
        <w:rPr>
          <w:rFonts w:hint="eastAsia" w:ascii="仿宋" w:hAnsi="仿宋" w:eastAsia="仿宋" w:cs="仿宋"/>
          <w:b w:val="0"/>
          <w:bCs w:val="0"/>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二十</w:t>
      </w:r>
      <w:r>
        <w:rPr>
          <w:rFonts w:hint="eastAsia" w:ascii="仿宋" w:hAnsi="仿宋" w:eastAsia="仿宋" w:cs="仿宋"/>
          <w:b/>
          <w:bCs/>
          <w:sz w:val="32"/>
          <w:szCs w:val="32"/>
        </w:rPr>
        <w:t>条</w:t>
      </w:r>
      <w:r>
        <w:rPr>
          <w:rFonts w:hint="eastAsia" w:ascii="仿宋" w:hAnsi="仿宋" w:eastAsia="仿宋" w:cs="仿宋"/>
          <w:b w:val="0"/>
          <w:bCs w:val="0"/>
          <w:sz w:val="32"/>
          <w:szCs w:val="32"/>
        </w:rPr>
        <w:t xml:space="preserve">  学生申诉处理委员会委员有以下情形之一的，应当回避：</w:t>
      </w:r>
    </w:p>
    <w:p w14:paraId="2D8CDA30">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（一）参与该申诉事项处理或处分过程的；</w:t>
      </w:r>
    </w:p>
    <w:p w14:paraId="3DFF176F">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（二）是申诉人近亲属的，或与申诉人有其他关系，可能影响公正处理的；</w:t>
      </w:r>
    </w:p>
    <w:p w14:paraId="3E16789D">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（三）本人或近亲属与申诉人、该申诉事项有利害关系的；</w:t>
      </w:r>
    </w:p>
    <w:p w14:paraId="4D0B1E18">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（四）存在其他可能妨碍公正处理的。</w:t>
      </w:r>
    </w:p>
    <w:p w14:paraId="531ECBDE">
      <w:pPr>
        <w:keepNext w:val="0"/>
        <w:keepLines w:val="0"/>
        <w:pageBreakBefore w:val="0"/>
        <w:kinsoku/>
        <w:wordWrap/>
        <w:overflowPunct/>
        <w:topLinePunct w:val="0"/>
        <w:autoSpaceDE/>
        <w:autoSpaceDN/>
        <w:bidi w:val="0"/>
        <w:spacing w:line="540" w:lineRule="exact"/>
        <w:ind w:firstLine="643" w:firstLineChars="200"/>
        <w:jc w:val="both"/>
        <w:textAlignment w:val="auto"/>
        <w:rPr>
          <w:rFonts w:hint="eastAsia" w:ascii="仿宋" w:hAnsi="仿宋" w:eastAsia="仿宋" w:cs="仿宋"/>
          <w:b w:val="0"/>
          <w:bCs w:val="0"/>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二十一</w:t>
      </w:r>
      <w:r>
        <w:rPr>
          <w:rFonts w:hint="eastAsia" w:ascii="仿宋" w:hAnsi="仿宋" w:eastAsia="仿宋" w:cs="仿宋"/>
          <w:b/>
          <w:bCs/>
          <w:sz w:val="32"/>
          <w:szCs w:val="32"/>
        </w:rPr>
        <w:t>条</w:t>
      </w:r>
      <w:r>
        <w:rPr>
          <w:rFonts w:hint="eastAsia" w:ascii="仿宋" w:hAnsi="仿宋" w:eastAsia="仿宋" w:cs="仿宋"/>
          <w:b w:val="0"/>
          <w:bCs w:val="0"/>
          <w:sz w:val="32"/>
          <w:szCs w:val="32"/>
        </w:rPr>
        <w:t xml:space="preserve">  申诉处理委员会会议一般由学生申诉处理委员会主任主持召开，也可由主任委托一名委员主持召开。会议应当遵循下列程序：</w:t>
      </w:r>
    </w:p>
    <w:p w14:paraId="6DA280E6">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（一）主持人介绍参会的申诉处理委员会委员，向申诉人确认有无需回避的人员；如有需回避的人员，申诉人可申请回避；</w:t>
      </w:r>
    </w:p>
    <w:p w14:paraId="486063B9">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（二）申诉人陈述，并回答委员提问；或委员会审议未到场申诉人的书面材料；</w:t>
      </w:r>
    </w:p>
    <w:p w14:paraId="11738C43">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（三）作出处理或处分决定涉及的机构代表陈述，并回答委员提问；</w:t>
      </w:r>
    </w:p>
    <w:p w14:paraId="42BC00A3">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（四）学生申诉处理委员会进行讨论；</w:t>
      </w:r>
    </w:p>
    <w:p w14:paraId="4CAFB269">
      <w:pPr>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 w:hAnsi="仿宋" w:eastAsia="仿宋" w:cs="仿宋"/>
          <w:b/>
          <w:bCs/>
          <w:sz w:val="32"/>
          <w:szCs w:val="32"/>
        </w:rPr>
      </w:pPr>
      <w:r>
        <w:rPr>
          <w:rFonts w:hint="eastAsia" w:ascii="仿宋" w:hAnsi="仿宋" w:eastAsia="仿宋" w:cs="仿宋"/>
          <w:b w:val="0"/>
          <w:bCs w:val="0"/>
          <w:sz w:val="32"/>
          <w:szCs w:val="32"/>
        </w:rPr>
        <w:t>（五）学生申诉处理委员会委员以无记名投票方式进行表决，作出复查结论。复查结论须得到实际到会委员的</w:t>
      </w:r>
      <w:r>
        <w:rPr>
          <w:rFonts w:hint="eastAsia" w:ascii="仿宋" w:hAnsi="仿宋" w:eastAsia="仿宋" w:cs="仿宋"/>
          <w:b w:val="0"/>
          <w:bCs w:val="0"/>
          <w:sz w:val="32"/>
          <w:szCs w:val="32"/>
          <w:lang w:val="en-US" w:eastAsia="zh-CN"/>
        </w:rPr>
        <w:t>过</w:t>
      </w:r>
      <w:r>
        <w:rPr>
          <w:rFonts w:hint="eastAsia" w:ascii="仿宋" w:hAnsi="仿宋" w:eastAsia="仿宋" w:cs="仿宋"/>
          <w:b w:val="0"/>
          <w:bCs w:val="0"/>
          <w:sz w:val="32"/>
          <w:szCs w:val="32"/>
        </w:rPr>
        <w:t>半数同意方为有效。</w:t>
      </w:r>
    </w:p>
    <w:p w14:paraId="63EF4595">
      <w:pPr>
        <w:keepNext w:val="0"/>
        <w:keepLines w:val="0"/>
        <w:pageBreakBefore w:val="0"/>
        <w:kinsoku/>
        <w:wordWrap/>
        <w:overflowPunct/>
        <w:topLinePunct w:val="0"/>
        <w:autoSpaceDE/>
        <w:autoSpaceDN/>
        <w:bidi w:val="0"/>
        <w:spacing w:line="54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rPr>
        <w:t>章  听证规定和程序</w:t>
      </w:r>
    </w:p>
    <w:p w14:paraId="53619417">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二十二</w:t>
      </w:r>
      <w:r>
        <w:rPr>
          <w:rFonts w:hint="eastAsia" w:ascii="仿宋" w:hAnsi="仿宋" w:eastAsia="仿宋" w:cs="仿宋"/>
          <w:b/>
          <w:bCs/>
          <w:sz w:val="32"/>
          <w:szCs w:val="32"/>
        </w:rPr>
        <w:t>条</w:t>
      </w:r>
      <w:r>
        <w:rPr>
          <w:rFonts w:hint="eastAsia" w:ascii="仿宋" w:hAnsi="仿宋" w:eastAsia="仿宋" w:cs="仿宋"/>
          <w:sz w:val="32"/>
          <w:szCs w:val="32"/>
        </w:rPr>
        <w:t xml:space="preserve">  申诉委员会根据申诉人或者代理人的请求，或者认为应该实施听证程序的，采取听证办法进行申诉处理。听证主持人由申诉委员会成员担当。</w:t>
      </w:r>
    </w:p>
    <w:p w14:paraId="52E42ABA">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二十三</w:t>
      </w:r>
      <w:r>
        <w:rPr>
          <w:rFonts w:hint="eastAsia" w:ascii="仿宋" w:hAnsi="仿宋" w:eastAsia="仿宋" w:cs="仿宋"/>
          <w:b/>
          <w:bCs/>
          <w:sz w:val="32"/>
          <w:szCs w:val="32"/>
        </w:rPr>
        <w:t>条</w:t>
      </w:r>
      <w:r>
        <w:rPr>
          <w:rFonts w:hint="eastAsia" w:ascii="仿宋" w:hAnsi="仿宋" w:eastAsia="仿宋" w:cs="仿宋"/>
          <w:sz w:val="32"/>
          <w:szCs w:val="32"/>
        </w:rPr>
        <w:t xml:space="preserve">  听证主持人就听证活动行使下列职权：</w:t>
      </w:r>
    </w:p>
    <w:p w14:paraId="2705B1F2">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（一）决定举行听证时间、地点和参加人员；</w:t>
      </w:r>
    </w:p>
    <w:p w14:paraId="4D35C84A">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（二）决定听证的延期、中止或者终结；</w:t>
      </w:r>
    </w:p>
    <w:p w14:paraId="4A63FC09">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（三）询问听证参加人；</w:t>
      </w:r>
    </w:p>
    <w:p w14:paraId="710A122B">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（四）接收并审核有关证据；</w:t>
      </w:r>
    </w:p>
    <w:p w14:paraId="0D587C65">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）维护听证秩序，对违反听证程序的人员进行警告，对情节严重者可以责令其退场；</w:t>
      </w:r>
    </w:p>
    <w:p w14:paraId="036C395A">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（六）向申诉委员会提出申诉的处理意见。</w:t>
      </w:r>
    </w:p>
    <w:p w14:paraId="397B0EE2">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条</w:t>
      </w:r>
      <w:r>
        <w:rPr>
          <w:rFonts w:hint="eastAsia" w:ascii="仿宋" w:hAnsi="仿宋" w:eastAsia="仿宋" w:cs="仿宋"/>
          <w:sz w:val="32"/>
          <w:szCs w:val="32"/>
        </w:rPr>
        <w:t xml:space="preserve">  听证主持人在听证活动中应公正地履行主持听证的职责，保证当事人行使陈述权、申辩权。</w:t>
      </w:r>
    </w:p>
    <w:p w14:paraId="175EC404">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条</w:t>
      </w:r>
      <w:r>
        <w:rPr>
          <w:rFonts w:hint="eastAsia" w:ascii="仿宋" w:hAnsi="仿宋" w:eastAsia="仿宋" w:cs="仿宋"/>
          <w:sz w:val="32"/>
          <w:szCs w:val="32"/>
        </w:rPr>
        <w:t xml:space="preserve">  参加听证的当事人和其他人员应按时参加听证，遵守听证秩序，如实回答听证主持人的询问，依法举证。</w:t>
      </w:r>
    </w:p>
    <w:p w14:paraId="792D2DC0">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条</w:t>
      </w:r>
      <w:r>
        <w:rPr>
          <w:rFonts w:hint="eastAsia" w:ascii="仿宋" w:hAnsi="仿宋" w:eastAsia="仿宋" w:cs="仿宋"/>
          <w:sz w:val="32"/>
          <w:szCs w:val="32"/>
        </w:rPr>
        <w:t xml:space="preserve">  听证开始前，听证记录员应查明听证参加人是否到场，并宣读听证纪律。</w:t>
      </w:r>
    </w:p>
    <w:p w14:paraId="000C3CCD">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七</w:t>
      </w:r>
      <w:r>
        <w:rPr>
          <w:rFonts w:hint="eastAsia" w:ascii="仿宋" w:hAnsi="仿宋" w:eastAsia="仿宋" w:cs="仿宋"/>
          <w:b/>
          <w:bCs/>
          <w:sz w:val="32"/>
          <w:szCs w:val="32"/>
        </w:rPr>
        <w:t>条</w:t>
      </w:r>
      <w:r>
        <w:rPr>
          <w:rFonts w:hint="eastAsia" w:ascii="仿宋" w:hAnsi="仿宋" w:eastAsia="仿宋" w:cs="仿宋"/>
          <w:sz w:val="32"/>
          <w:szCs w:val="32"/>
        </w:rPr>
        <w:t xml:space="preserve">  听证应按照下列程序进行：</w:t>
      </w:r>
    </w:p>
    <w:p w14:paraId="515141CD">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（一）主持人宣布听证开始，宣布案由；</w:t>
      </w:r>
    </w:p>
    <w:p w14:paraId="3FD1C90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（二）作出处分或者处理经办人就有关事实、证据和依据进行陈述；</w:t>
      </w:r>
    </w:p>
    <w:p w14:paraId="2EF2AF0B">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（三）申诉当事人就事实、理由、证据或者依据进行申辩，并可以出示相关证据材料；</w:t>
      </w:r>
    </w:p>
    <w:p w14:paraId="08502DDA">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（四）经听证主持人允许，听证参加人可以就有关事实、证据和依据进行质问，也可以向到场的证人发问；</w:t>
      </w:r>
    </w:p>
    <w:p w14:paraId="66498F49">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（五）有关当事人作最后陈述；</w:t>
      </w:r>
    </w:p>
    <w:p w14:paraId="76851C89">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（六）听证主持人宣布听证结束。</w:t>
      </w:r>
    </w:p>
    <w:p w14:paraId="2F3C6A3A">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八</w:t>
      </w:r>
      <w:r>
        <w:rPr>
          <w:rFonts w:hint="eastAsia" w:ascii="仿宋" w:hAnsi="仿宋" w:eastAsia="仿宋" w:cs="仿宋"/>
          <w:b/>
          <w:bCs/>
          <w:sz w:val="32"/>
          <w:szCs w:val="32"/>
        </w:rPr>
        <w:t>条</w:t>
      </w:r>
      <w:r>
        <w:rPr>
          <w:rFonts w:hint="eastAsia" w:ascii="仿宋" w:hAnsi="仿宋" w:eastAsia="仿宋" w:cs="仿宋"/>
          <w:sz w:val="32"/>
          <w:szCs w:val="32"/>
        </w:rPr>
        <w:t xml:space="preserve">  听证记录员将听证的全部活动进行记录，并</w:t>
      </w:r>
      <w:r>
        <w:rPr>
          <w:rFonts w:hint="eastAsia" w:ascii="仿宋" w:hAnsi="仿宋" w:eastAsia="仿宋" w:cs="仿宋"/>
          <w:sz w:val="32"/>
          <w:szCs w:val="32"/>
          <w:highlight w:val="none"/>
          <w:lang w:eastAsia="zh"/>
        </w:rPr>
        <w:t>由</w:t>
      </w:r>
      <w:r>
        <w:rPr>
          <w:rFonts w:hint="eastAsia" w:ascii="仿宋" w:hAnsi="仿宋" w:eastAsia="仿宋" w:cs="仿宋"/>
          <w:sz w:val="32"/>
          <w:szCs w:val="32"/>
        </w:rPr>
        <w:t>主持人和听证记录人员签名</w:t>
      </w:r>
      <w:r>
        <w:rPr>
          <w:rFonts w:hint="eastAsia" w:ascii="仿宋" w:hAnsi="仿宋" w:eastAsia="仿宋" w:cs="仿宋"/>
          <w:sz w:val="32"/>
          <w:szCs w:val="32"/>
          <w:lang w:eastAsia="zh-CN"/>
        </w:rPr>
        <w:t>，</w:t>
      </w:r>
      <w:r>
        <w:rPr>
          <w:rFonts w:hint="eastAsia" w:ascii="仿宋" w:hAnsi="仿宋" w:eastAsia="仿宋" w:cs="仿宋"/>
          <w:sz w:val="32"/>
          <w:szCs w:val="32"/>
        </w:rPr>
        <w:t>听证笔录由当事人当场签名或者盖章。</w:t>
      </w:r>
    </w:p>
    <w:p w14:paraId="147D23B0">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二十九</w:t>
      </w:r>
      <w:r>
        <w:rPr>
          <w:rFonts w:hint="eastAsia" w:ascii="仿宋" w:hAnsi="仿宋" w:eastAsia="仿宋" w:cs="仿宋"/>
          <w:b/>
          <w:bCs/>
          <w:sz w:val="32"/>
          <w:szCs w:val="32"/>
        </w:rPr>
        <w:t>条</w:t>
      </w:r>
      <w:r>
        <w:rPr>
          <w:rFonts w:hint="eastAsia" w:ascii="仿宋" w:hAnsi="仿宋" w:eastAsia="仿宋" w:cs="仿宋"/>
          <w:sz w:val="32"/>
          <w:szCs w:val="32"/>
        </w:rPr>
        <w:t xml:space="preserve">  听证结束后，听证主持人应主持制作听证报告。</w:t>
      </w:r>
    </w:p>
    <w:p w14:paraId="4EB68415">
      <w:pPr>
        <w:keepNext w:val="0"/>
        <w:keepLines w:val="0"/>
        <w:pageBreakBefore w:val="0"/>
        <w:kinsoku/>
        <w:wordWrap/>
        <w:overflowPunct/>
        <w:topLinePunct w:val="0"/>
        <w:autoSpaceDE/>
        <w:autoSpaceDN/>
        <w:bidi w:val="0"/>
        <w:spacing w:line="540" w:lineRule="exact"/>
        <w:jc w:val="center"/>
        <w:textAlignment w:val="auto"/>
        <w:rPr>
          <w:rFonts w:hint="eastAsia" w:ascii="仿宋" w:hAnsi="仿宋" w:eastAsia="仿宋" w:cs="仿宋"/>
          <w:b/>
          <w:bCs/>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章  附则</w:t>
      </w:r>
    </w:p>
    <w:p w14:paraId="593E8095">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三十</w:t>
      </w:r>
      <w:r>
        <w:rPr>
          <w:rFonts w:hint="eastAsia" w:ascii="仿宋" w:hAnsi="仿宋" w:eastAsia="仿宋" w:cs="仿宋"/>
          <w:b/>
          <w:bCs/>
          <w:sz w:val="32"/>
          <w:szCs w:val="32"/>
        </w:rPr>
        <w:t>条</w:t>
      </w:r>
      <w:r>
        <w:rPr>
          <w:rFonts w:hint="eastAsia" w:ascii="仿宋" w:hAnsi="仿宋" w:eastAsia="仿宋" w:cs="仿宋"/>
          <w:sz w:val="32"/>
          <w:szCs w:val="32"/>
        </w:rPr>
        <w:t xml:space="preserve">  本办法由学生申诉处理委员会负责解释。</w:t>
      </w:r>
    </w:p>
    <w:p w14:paraId="4939D5CD">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三十一</w:t>
      </w:r>
      <w:r>
        <w:rPr>
          <w:rFonts w:hint="eastAsia" w:ascii="仿宋" w:hAnsi="仿宋" w:eastAsia="仿宋" w:cs="仿宋"/>
          <w:b/>
          <w:bCs/>
          <w:sz w:val="32"/>
          <w:szCs w:val="32"/>
        </w:rPr>
        <w:t>条</w:t>
      </w:r>
      <w:r>
        <w:rPr>
          <w:rFonts w:hint="eastAsia" w:ascii="仿宋" w:hAnsi="仿宋" w:eastAsia="仿宋" w:cs="仿宋"/>
          <w:sz w:val="32"/>
          <w:szCs w:val="32"/>
        </w:rPr>
        <w:t xml:space="preserve">  本办法自20</w:t>
      </w:r>
      <w:r>
        <w:rPr>
          <w:rFonts w:hint="eastAsia" w:ascii="仿宋" w:hAnsi="仿宋" w:eastAsia="仿宋" w:cs="仿宋"/>
          <w:sz w:val="32"/>
          <w:szCs w:val="32"/>
          <w:lang w:val="en-US" w:eastAsia="zh-CN"/>
        </w:rPr>
        <w:t>24</w:t>
      </w:r>
      <w:r>
        <w:rPr>
          <w:rFonts w:hint="eastAsia" w:ascii="仿宋" w:hAnsi="仿宋" w:eastAsia="仿宋" w:cs="仿宋"/>
          <w:sz w:val="32"/>
          <w:szCs w:val="32"/>
        </w:rPr>
        <w:t>年9月1日起施行。</w:t>
      </w:r>
    </w:p>
    <w:p w14:paraId="4983007C">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sz w:val="32"/>
          <w:szCs w:val="32"/>
        </w:rPr>
      </w:pPr>
    </w:p>
    <w:p w14:paraId="7FC0B184">
      <w:pPr>
        <w:keepNext w:val="0"/>
        <w:keepLines w:val="0"/>
        <w:pageBreakBefore w:val="0"/>
        <w:kinsoku/>
        <w:wordWrap/>
        <w:overflowPunct/>
        <w:topLinePunct w:val="0"/>
        <w:autoSpaceDE/>
        <w:autoSpaceDN/>
        <w:bidi w:val="0"/>
        <w:spacing w:line="540" w:lineRule="exact"/>
        <w:textAlignment w:val="auto"/>
        <w:rPr>
          <w:rFonts w:hint="eastAsia" w:ascii="仿宋" w:hAnsi="仿宋" w:eastAsia="仿宋"/>
          <w:sz w:val="32"/>
          <w:szCs w:val="32"/>
        </w:rPr>
      </w:pPr>
    </w:p>
    <w:p w14:paraId="51B51F51">
      <w:pPr>
        <w:keepNext w:val="0"/>
        <w:keepLines w:val="0"/>
        <w:pageBreakBefore w:val="0"/>
        <w:wordWrap/>
        <w:overflowPunct/>
        <w:topLinePunct w:val="0"/>
        <w:bidi w:val="0"/>
        <w:spacing w:line="520" w:lineRule="exact"/>
        <w:rPr>
          <w:rFonts w:hint="eastAsia" w:ascii="仿宋" w:hAnsi="仿宋" w:eastAsia="仿宋"/>
          <w:sz w:val="32"/>
          <w:szCs w:val="32"/>
        </w:rPr>
      </w:pPr>
    </w:p>
    <w:p w14:paraId="6F6A7864">
      <w:pPr>
        <w:keepNext w:val="0"/>
        <w:keepLines w:val="0"/>
        <w:pageBreakBefore w:val="0"/>
        <w:wordWrap/>
        <w:overflowPunct/>
        <w:topLinePunct w:val="0"/>
        <w:bidi w:val="0"/>
        <w:spacing w:line="520" w:lineRule="exact"/>
        <w:rPr>
          <w:rFonts w:hint="eastAsia" w:ascii="仿宋" w:hAnsi="仿宋" w:eastAsia="仿宋"/>
          <w:sz w:val="32"/>
          <w:szCs w:val="32"/>
        </w:rPr>
      </w:pPr>
    </w:p>
    <w:p w14:paraId="3335B688">
      <w:pPr>
        <w:keepNext w:val="0"/>
        <w:keepLines w:val="0"/>
        <w:pageBreakBefore w:val="0"/>
        <w:kinsoku w:val="0"/>
        <w:wordWrap/>
        <w:overflowPunct/>
        <w:topLinePunct w:val="0"/>
        <w:bidi w:val="0"/>
        <w:spacing w:line="520" w:lineRule="exact"/>
        <w:rPr>
          <w:rFonts w:hint="eastAsia" w:asciiTheme="minorHAnsi" w:hAnsiTheme="minorHAnsi" w:eastAsiaTheme="minorEastAsia" w:cstheme="minorBidi"/>
          <w:kern w:val="2"/>
          <w:sz w:val="21"/>
          <w:szCs w:val="22"/>
          <w:lang w:val="en-US" w:eastAsia="zh-CN" w:bidi="ar-SA"/>
        </w:rPr>
      </w:pPr>
      <w:r>
        <w:rPr>
          <w:rFonts w:hint="eastAsia" w:ascii="仿宋" w:hAnsi="仿宋" w:eastAsia="仿宋" w:cs="仿宋"/>
          <w:sz w:val="32"/>
          <w:szCs w:val="32"/>
          <w:lang w:val="en-US"/>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385445</wp:posOffset>
                </wp:positionV>
                <wp:extent cx="554355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5435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pt;margin-top:30.35pt;height:0pt;width:436.5pt;z-index:251662336;mso-width-relative:page;mso-height-relative:page;" filled="f" stroked="t" coordsize="21600,21600" o:gfxdata="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EsD31gAAAAgBAAAPAAAAAAAAAAEAIAAAACIAAABkcnMvZG93bnJldi54bWxQ&#10;SwECFAAUAAAACACHTuJAuPUITPkBAADy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sz w:val="32"/>
          <w:szCs w:val="32"/>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-14605</wp:posOffset>
                </wp:positionV>
                <wp:extent cx="554355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5435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1.15pt;height:0pt;width:436.5pt;z-index:251661312;mso-width-relative:page;mso-height-relative:page;" filled="f" stroked="t" coordsize="21600,21600" o:gfxdata="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j03LdQAAAAHAQAADwAAAAAAAAABACAAAAAiAAAAZHJzL2Rvd25yZXYueG1sUEsB&#10;AhQAFAAAAAgAh07iQHd2E5f5AQAA8gMAAA4AAAAAAAAAAQAgAAAAIwEAAGRycy9lMm9Eb2MueG1s&#10;UEsFBgAAAAAGAAYAWQEAAI4FAAAAAA==&#10;">
                <v:fill on="f" focussize="0,0"/>
                <v:stroke color="#000000" joinstyle="round"/>
                <v:imagedata o:title=""/>
                <o:lock v:ext="edit" aspectratio="f"/>
              </v:line>
            </w:pict>
          </mc:Fallback>
        </mc:AlternateContent>
      </w:r>
      <w:r>
        <w:rPr>
          <w:rFonts w:hint="eastAsia" w:ascii="仿宋" w:hAnsi="仿宋" w:eastAsia="仿宋" w:cs="仿宋"/>
          <w:sz w:val="32"/>
          <w:szCs w:val="32"/>
          <w:lang w:val="en-US"/>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385445</wp:posOffset>
                </wp:positionV>
                <wp:extent cx="5543550"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55435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pt;margin-top:30.35pt;height:0pt;width:436.5pt;z-index:251660288;mso-width-relative:page;mso-height-relative:page;" filled="f" stroked="t" coordsize="21600,21600" o:gfxdata="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EsD31gAAAAgBAAAPAAAAAAAAAAEAIAAAACIAAABkcnMvZG93bnJldi54bWxQ&#10;SwECFAAUAAAACACHTuJA2EKANfkBAADy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-14605</wp:posOffset>
                </wp:positionV>
                <wp:extent cx="554355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5435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1.15pt;height:0pt;width:436.5pt;z-index:251659264;mso-width-relative:page;mso-height-relative:page;" filled="f" stroked="t" coordsize="21600,21600" o:gfxdata="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j03LdQAAAAHAQAADwAAAAAAAAABACAAAAAiAAAAZHJzL2Rvd25yZXYueG1sUEsB&#10;AhQAFAAAAAgAh07iQGgZRAn5AQAA8gMAAA4AAAAAAAAAAQAgAAAAIwEAAGRycy9lMm9Eb2MueG1s&#10;UEsFBgAAAAAGAAYAWQEAAI4FAAAAAA==&#10;">
                <v:fill on="f" focussize="0,0"/>
                <v:stroke color="#000000" joinstyle="round"/>
                <v:imagedata o:title=""/>
                <o:lock v:ext="edit" aspectratio="f"/>
              </v:line>
            </w:pict>
          </mc:Fallback>
        </mc:AlternateContent>
      </w:r>
      <w:r>
        <w:rPr>
          <w:rFonts w:hint="eastAsia" w:ascii="仿宋" w:hAnsi="仿宋" w:eastAsia="仿宋" w:cs="仿宋"/>
          <w:sz w:val="32"/>
          <w:szCs w:val="32"/>
          <w:lang w:val="en-US" w:eastAsia="zh-CN"/>
        </w:rPr>
        <w:t>河南女子职业学院                   2024年7月3日印发</w:t>
      </w:r>
    </w:p>
    <w:sectPr>
      <w:footerReference r:id="rId3" w:type="default"/>
      <w:pgSz w:w="11906" w:h="16838"/>
      <w:pgMar w:top="2268" w:right="1701" w:bottom="1984"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796F2A-4147-47F8-B1FD-F1E0CA4E41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52314E2E-7CF3-4C94-B11E-50805A566CD2}"/>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3" w:fontKey="{7F9AD541-1F60-47CC-A593-A3B149DEB70F}"/>
  </w:font>
  <w:font w:name="微软雅黑 !important">
    <w:altName w:val="黑体"/>
    <w:panose1 w:val="00000000000000000000"/>
    <w:charset w:val="00"/>
    <w:family w:val="auto"/>
    <w:pitch w:val="default"/>
    <w:sig w:usb0="00000000" w:usb1="00000000" w:usb2="00000000" w:usb3="00000000" w:csb0="00040001" w:csb1="00000000"/>
    <w:embedRegular r:id="rId4" w:fontKey="{35048BC6-2011-436F-AE41-00CDEAAFD3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66CD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83C2F">
                          <w:pPr>
                            <w:pStyle w:val="8"/>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B83C2F">
                    <w:pPr>
                      <w:pStyle w:val="8"/>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ZmQyNzJmMTgwN2RkMGI5NTljODVlYTdiZTk1ZTkifQ=="/>
    <w:docVar w:name="KSO_WPS_MARK_KEY" w:val="26c98e47-052e-4320-807b-18b135ced9be"/>
  </w:docVars>
  <w:rsids>
    <w:rsidRoot w:val="00000000"/>
    <w:rsid w:val="00441793"/>
    <w:rsid w:val="010A2F9E"/>
    <w:rsid w:val="01DA4A1D"/>
    <w:rsid w:val="024077CD"/>
    <w:rsid w:val="02C21CD8"/>
    <w:rsid w:val="03045209"/>
    <w:rsid w:val="03364B5B"/>
    <w:rsid w:val="03CF064F"/>
    <w:rsid w:val="04253689"/>
    <w:rsid w:val="047168CE"/>
    <w:rsid w:val="05277CA6"/>
    <w:rsid w:val="052D6C99"/>
    <w:rsid w:val="053C512E"/>
    <w:rsid w:val="05816FE5"/>
    <w:rsid w:val="05951802"/>
    <w:rsid w:val="05F5097B"/>
    <w:rsid w:val="06712BB6"/>
    <w:rsid w:val="07A81414"/>
    <w:rsid w:val="080340E2"/>
    <w:rsid w:val="08491D8B"/>
    <w:rsid w:val="08DD2784"/>
    <w:rsid w:val="08F04AF2"/>
    <w:rsid w:val="09673494"/>
    <w:rsid w:val="09A063DF"/>
    <w:rsid w:val="0A153ADB"/>
    <w:rsid w:val="0A3C319E"/>
    <w:rsid w:val="0A4505E1"/>
    <w:rsid w:val="0B097497"/>
    <w:rsid w:val="0B197AB4"/>
    <w:rsid w:val="0B24469B"/>
    <w:rsid w:val="0BAE0408"/>
    <w:rsid w:val="0C0D512F"/>
    <w:rsid w:val="0C6807F6"/>
    <w:rsid w:val="0CDB347F"/>
    <w:rsid w:val="0D307327"/>
    <w:rsid w:val="0D5F7C0C"/>
    <w:rsid w:val="0D7E4241"/>
    <w:rsid w:val="0FA25CB6"/>
    <w:rsid w:val="11F70EC4"/>
    <w:rsid w:val="12174434"/>
    <w:rsid w:val="12DC1B4C"/>
    <w:rsid w:val="134F2888"/>
    <w:rsid w:val="142E040A"/>
    <w:rsid w:val="147B13C5"/>
    <w:rsid w:val="147C10A3"/>
    <w:rsid w:val="14AE09C4"/>
    <w:rsid w:val="14D50D8A"/>
    <w:rsid w:val="14DE0CFE"/>
    <w:rsid w:val="152F20C5"/>
    <w:rsid w:val="15710540"/>
    <w:rsid w:val="159D7523"/>
    <w:rsid w:val="163F3912"/>
    <w:rsid w:val="166D72BD"/>
    <w:rsid w:val="1674133C"/>
    <w:rsid w:val="174B0F76"/>
    <w:rsid w:val="17AD77C6"/>
    <w:rsid w:val="17DE031C"/>
    <w:rsid w:val="18CF3D0E"/>
    <w:rsid w:val="19A344A7"/>
    <w:rsid w:val="19C22FE5"/>
    <w:rsid w:val="1AB01AA7"/>
    <w:rsid w:val="1ACA615A"/>
    <w:rsid w:val="1B72464E"/>
    <w:rsid w:val="1B9C2492"/>
    <w:rsid w:val="1BBB45BA"/>
    <w:rsid w:val="1BBD1A7D"/>
    <w:rsid w:val="1C824E9E"/>
    <w:rsid w:val="1CE7377A"/>
    <w:rsid w:val="1D25534B"/>
    <w:rsid w:val="1D64730B"/>
    <w:rsid w:val="1D813A1D"/>
    <w:rsid w:val="1E302FD3"/>
    <w:rsid w:val="1E602CCE"/>
    <w:rsid w:val="1E62755C"/>
    <w:rsid w:val="1E6A2A27"/>
    <w:rsid w:val="1ED00C5B"/>
    <w:rsid w:val="1F093390"/>
    <w:rsid w:val="1F100D66"/>
    <w:rsid w:val="1F3D1B80"/>
    <w:rsid w:val="204C2C8C"/>
    <w:rsid w:val="20861AA1"/>
    <w:rsid w:val="20967991"/>
    <w:rsid w:val="20BC0894"/>
    <w:rsid w:val="214B077B"/>
    <w:rsid w:val="21CE37AE"/>
    <w:rsid w:val="2213372A"/>
    <w:rsid w:val="2246329B"/>
    <w:rsid w:val="22864C85"/>
    <w:rsid w:val="228F33A1"/>
    <w:rsid w:val="23AF272C"/>
    <w:rsid w:val="23F73E16"/>
    <w:rsid w:val="24612064"/>
    <w:rsid w:val="263B7010"/>
    <w:rsid w:val="27764078"/>
    <w:rsid w:val="27906EE8"/>
    <w:rsid w:val="27D054CD"/>
    <w:rsid w:val="283013BF"/>
    <w:rsid w:val="28DE272D"/>
    <w:rsid w:val="291B4ED7"/>
    <w:rsid w:val="29220014"/>
    <w:rsid w:val="298C36DF"/>
    <w:rsid w:val="29D04890"/>
    <w:rsid w:val="29F10EE6"/>
    <w:rsid w:val="2A8560B4"/>
    <w:rsid w:val="2A8A32CC"/>
    <w:rsid w:val="2AF8670F"/>
    <w:rsid w:val="2B7859D6"/>
    <w:rsid w:val="2C895D5B"/>
    <w:rsid w:val="2D1F7B33"/>
    <w:rsid w:val="2D2F46A7"/>
    <w:rsid w:val="2D3C541C"/>
    <w:rsid w:val="2DB151E8"/>
    <w:rsid w:val="2E2F6D2F"/>
    <w:rsid w:val="2E385D01"/>
    <w:rsid w:val="2F031F18"/>
    <w:rsid w:val="2F6914B6"/>
    <w:rsid w:val="2FC62490"/>
    <w:rsid w:val="2FEA73B1"/>
    <w:rsid w:val="301D32E3"/>
    <w:rsid w:val="30272F9F"/>
    <w:rsid w:val="3046507A"/>
    <w:rsid w:val="30D057F2"/>
    <w:rsid w:val="314615CE"/>
    <w:rsid w:val="316549B3"/>
    <w:rsid w:val="317E2A26"/>
    <w:rsid w:val="31905D36"/>
    <w:rsid w:val="329A5F94"/>
    <w:rsid w:val="32C6201E"/>
    <w:rsid w:val="33062E1D"/>
    <w:rsid w:val="334E7C57"/>
    <w:rsid w:val="33B201E6"/>
    <w:rsid w:val="33CB12A8"/>
    <w:rsid w:val="3454129D"/>
    <w:rsid w:val="34BB21B8"/>
    <w:rsid w:val="34C06933"/>
    <w:rsid w:val="35B03BAC"/>
    <w:rsid w:val="35B57D4D"/>
    <w:rsid w:val="35F61DE7"/>
    <w:rsid w:val="35F72828"/>
    <w:rsid w:val="36426239"/>
    <w:rsid w:val="36820344"/>
    <w:rsid w:val="36924566"/>
    <w:rsid w:val="36C223A4"/>
    <w:rsid w:val="36EE7787"/>
    <w:rsid w:val="377A0CF0"/>
    <w:rsid w:val="37875696"/>
    <w:rsid w:val="37E000EA"/>
    <w:rsid w:val="37FA1102"/>
    <w:rsid w:val="389600D6"/>
    <w:rsid w:val="39004D84"/>
    <w:rsid w:val="39072D82"/>
    <w:rsid w:val="39152020"/>
    <w:rsid w:val="39BE5B37"/>
    <w:rsid w:val="39F91AE0"/>
    <w:rsid w:val="3A5C0EAC"/>
    <w:rsid w:val="3AEE22E7"/>
    <w:rsid w:val="3B3D2A9E"/>
    <w:rsid w:val="3B7E4D5E"/>
    <w:rsid w:val="3BE97A7F"/>
    <w:rsid w:val="3BF82FF5"/>
    <w:rsid w:val="3BFD046C"/>
    <w:rsid w:val="3C5F6A31"/>
    <w:rsid w:val="3C630057"/>
    <w:rsid w:val="3CFE6FE0"/>
    <w:rsid w:val="3E34174B"/>
    <w:rsid w:val="3F8D68C1"/>
    <w:rsid w:val="3FB324B2"/>
    <w:rsid w:val="3FBC4E24"/>
    <w:rsid w:val="3FDB7174"/>
    <w:rsid w:val="40316936"/>
    <w:rsid w:val="404256B5"/>
    <w:rsid w:val="404C5282"/>
    <w:rsid w:val="40623918"/>
    <w:rsid w:val="412F731A"/>
    <w:rsid w:val="418807D8"/>
    <w:rsid w:val="41A179C6"/>
    <w:rsid w:val="41D209EC"/>
    <w:rsid w:val="4255123F"/>
    <w:rsid w:val="42F06635"/>
    <w:rsid w:val="432867FF"/>
    <w:rsid w:val="433B4F72"/>
    <w:rsid w:val="44D35124"/>
    <w:rsid w:val="44E636BD"/>
    <w:rsid w:val="451456D2"/>
    <w:rsid w:val="456772FF"/>
    <w:rsid w:val="456E5467"/>
    <w:rsid w:val="45B95404"/>
    <w:rsid w:val="463D72B4"/>
    <w:rsid w:val="46424BEC"/>
    <w:rsid w:val="468506F7"/>
    <w:rsid w:val="46C45827"/>
    <w:rsid w:val="46CD4B5B"/>
    <w:rsid w:val="46E01544"/>
    <w:rsid w:val="473311E6"/>
    <w:rsid w:val="47E71DC2"/>
    <w:rsid w:val="485A1B16"/>
    <w:rsid w:val="48A95BB0"/>
    <w:rsid w:val="48D16F5A"/>
    <w:rsid w:val="48E8304E"/>
    <w:rsid w:val="49861AA1"/>
    <w:rsid w:val="49B26786"/>
    <w:rsid w:val="49F41101"/>
    <w:rsid w:val="4AD01F40"/>
    <w:rsid w:val="4B2C13D7"/>
    <w:rsid w:val="4B7453B0"/>
    <w:rsid w:val="4B8E2E8F"/>
    <w:rsid w:val="4B942ED2"/>
    <w:rsid w:val="4BBE3774"/>
    <w:rsid w:val="4BDE176D"/>
    <w:rsid w:val="4C9F6804"/>
    <w:rsid w:val="4CAD75E3"/>
    <w:rsid w:val="4D1F1BC8"/>
    <w:rsid w:val="4D1F5BA1"/>
    <w:rsid w:val="4D5F49FF"/>
    <w:rsid w:val="4D791D44"/>
    <w:rsid w:val="4D964FB4"/>
    <w:rsid w:val="4DAF17C2"/>
    <w:rsid w:val="4DCD4BDA"/>
    <w:rsid w:val="4E087DE7"/>
    <w:rsid w:val="4E0D2791"/>
    <w:rsid w:val="4E127DA7"/>
    <w:rsid w:val="4E41068C"/>
    <w:rsid w:val="4E676C38"/>
    <w:rsid w:val="4FCF7E54"/>
    <w:rsid w:val="50AC140F"/>
    <w:rsid w:val="50AF3E9A"/>
    <w:rsid w:val="50C25C1D"/>
    <w:rsid w:val="513F4CA7"/>
    <w:rsid w:val="513F7105"/>
    <w:rsid w:val="518252F1"/>
    <w:rsid w:val="51995660"/>
    <w:rsid w:val="51B55037"/>
    <w:rsid w:val="51BA678C"/>
    <w:rsid w:val="51BA7643"/>
    <w:rsid w:val="520C2D5F"/>
    <w:rsid w:val="5237602E"/>
    <w:rsid w:val="526A5AE8"/>
    <w:rsid w:val="52883FE3"/>
    <w:rsid w:val="528A0854"/>
    <w:rsid w:val="52A90552"/>
    <w:rsid w:val="52E02222"/>
    <w:rsid w:val="53206040"/>
    <w:rsid w:val="537C6EFF"/>
    <w:rsid w:val="540B7773"/>
    <w:rsid w:val="549C4050"/>
    <w:rsid w:val="54B75204"/>
    <w:rsid w:val="563531E8"/>
    <w:rsid w:val="586C418E"/>
    <w:rsid w:val="588B0E82"/>
    <w:rsid w:val="588E2720"/>
    <w:rsid w:val="592961FD"/>
    <w:rsid w:val="5A407A4A"/>
    <w:rsid w:val="5A6A5587"/>
    <w:rsid w:val="5AA77AC9"/>
    <w:rsid w:val="5B740F76"/>
    <w:rsid w:val="5CD66444"/>
    <w:rsid w:val="5CE768A3"/>
    <w:rsid w:val="5D2161F8"/>
    <w:rsid w:val="5D3172C2"/>
    <w:rsid w:val="5D331AE8"/>
    <w:rsid w:val="5D9D06EA"/>
    <w:rsid w:val="5DE439D4"/>
    <w:rsid w:val="5DFD637E"/>
    <w:rsid w:val="5E45647E"/>
    <w:rsid w:val="5EC76D2D"/>
    <w:rsid w:val="5ED42264"/>
    <w:rsid w:val="5ED920A4"/>
    <w:rsid w:val="5F8B79B9"/>
    <w:rsid w:val="606B7D5F"/>
    <w:rsid w:val="609F5D52"/>
    <w:rsid w:val="61EF2482"/>
    <w:rsid w:val="622C5274"/>
    <w:rsid w:val="62AC0373"/>
    <w:rsid w:val="62FC74AA"/>
    <w:rsid w:val="640B2E77"/>
    <w:rsid w:val="6466598A"/>
    <w:rsid w:val="65C23F54"/>
    <w:rsid w:val="65DF6E78"/>
    <w:rsid w:val="66032C91"/>
    <w:rsid w:val="66285C66"/>
    <w:rsid w:val="66494151"/>
    <w:rsid w:val="66D4483C"/>
    <w:rsid w:val="67A94556"/>
    <w:rsid w:val="68953657"/>
    <w:rsid w:val="68CC73F6"/>
    <w:rsid w:val="6A85589C"/>
    <w:rsid w:val="6B6766BE"/>
    <w:rsid w:val="6BFD579B"/>
    <w:rsid w:val="6C144460"/>
    <w:rsid w:val="6C31178D"/>
    <w:rsid w:val="6C944351"/>
    <w:rsid w:val="6CE11DE3"/>
    <w:rsid w:val="6D125276"/>
    <w:rsid w:val="6D261747"/>
    <w:rsid w:val="6D81474A"/>
    <w:rsid w:val="6D8D3AD7"/>
    <w:rsid w:val="6DA07D03"/>
    <w:rsid w:val="6E2C05BA"/>
    <w:rsid w:val="6EE90259"/>
    <w:rsid w:val="6F0155A2"/>
    <w:rsid w:val="6F50730C"/>
    <w:rsid w:val="6FD11F7C"/>
    <w:rsid w:val="708010DE"/>
    <w:rsid w:val="709D12FB"/>
    <w:rsid w:val="70BF140D"/>
    <w:rsid w:val="7132567F"/>
    <w:rsid w:val="71F72C8D"/>
    <w:rsid w:val="727A05A1"/>
    <w:rsid w:val="729946D4"/>
    <w:rsid w:val="732B52E4"/>
    <w:rsid w:val="739F3EEC"/>
    <w:rsid w:val="73F76E28"/>
    <w:rsid w:val="74B34CC0"/>
    <w:rsid w:val="765B1A3C"/>
    <w:rsid w:val="769D4E1B"/>
    <w:rsid w:val="779A6594"/>
    <w:rsid w:val="77CC5B43"/>
    <w:rsid w:val="78EA0CE3"/>
    <w:rsid w:val="790255F2"/>
    <w:rsid w:val="79314CD6"/>
    <w:rsid w:val="7A041382"/>
    <w:rsid w:val="7A0A223C"/>
    <w:rsid w:val="7A205476"/>
    <w:rsid w:val="7A5614FA"/>
    <w:rsid w:val="7AB160CE"/>
    <w:rsid w:val="7AD47FEE"/>
    <w:rsid w:val="7AE937B9"/>
    <w:rsid w:val="7B130B37"/>
    <w:rsid w:val="7B9F289A"/>
    <w:rsid w:val="7C4E1989"/>
    <w:rsid w:val="7CB77BE8"/>
    <w:rsid w:val="7CEA3B1A"/>
    <w:rsid w:val="7D056BA5"/>
    <w:rsid w:val="7DA70DAB"/>
    <w:rsid w:val="7DBD692C"/>
    <w:rsid w:val="7DC26844"/>
    <w:rsid w:val="7DCB2944"/>
    <w:rsid w:val="7DFB58B2"/>
    <w:rsid w:val="7E467DD0"/>
    <w:rsid w:val="7E5A528F"/>
    <w:rsid w:val="7E6538C0"/>
    <w:rsid w:val="7F23545E"/>
    <w:rsid w:val="7F6D1B1C"/>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1"/>
    <w:pPr>
      <w:spacing w:before="30"/>
      <w:ind w:left="123" w:right="779"/>
      <w:outlineLvl w:val="1"/>
    </w:pPr>
    <w:rPr>
      <w:rFonts w:ascii="宋体" w:hAnsi="宋体" w:eastAsia="宋体" w:cs="宋体"/>
      <w:b/>
      <w:bCs/>
      <w:sz w:val="44"/>
      <w:szCs w:val="44"/>
      <w:lang w:val="zh-CN" w:eastAsia="zh-CN" w:bidi="zh-CN"/>
    </w:rPr>
  </w:style>
  <w:style w:type="paragraph" w:styleId="3">
    <w:name w:val="heading 2"/>
    <w:basedOn w:val="1"/>
    <w:next w:val="1"/>
    <w:link w:val="30"/>
    <w:unhideWhenUsed/>
    <w:qFormat/>
    <w:uiPriority w:val="0"/>
    <w:pPr>
      <w:keepNext/>
      <w:keepLines/>
      <w:spacing w:beforeLines="0" w:beforeAutospacing="0" w:afterLines="0" w:afterAutospacing="0" w:line="570" w:lineRule="exact"/>
      <w:jc w:val="center"/>
      <w:outlineLvl w:val="1"/>
    </w:pPr>
    <w:rPr>
      <w:rFonts w:ascii="Arial" w:hAnsi="Arial" w:eastAsia="方正小标宋简体" w:cs="方正小标宋简体"/>
      <w:sz w:val="44"/>
      <w:szCs w:val="44"/>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Body Text"/>
    <w:basedOn w:val="1"/>
    <w:autoRedefine/>
    <w:qFormat/>
    <w:uiPriority w:val="1"/>
    <w:pPr>
      <w:ind w:left="600"/>
    </w:pPr>
    <w:rPr>
      <w:sz w:val="32"/>
      <w:szCs w:val="32"/>
    </w:rPr>
  </w:style>
  <w:style w:type="paragraph" w:styleId="6">
    <w:name w:val="Body Text Indent"/>
    <w:basedOn w:val="1"/>
    <w:autoRedefine/>
    <w:qFormat/>
    <w:uiPriority w:val="99"/>
    <w:pPr>
      <w:spacing w:line="560" w:lineRule="exact"/>
      <w:ind w:firstLine="501" w:firstLineChars="179"/>
    </w:pPr>
    <w:rPr>
      <w:rFonts w:ascii="仿宋_GB2312" w:eastAsia="仿宋_GB2312"/>
      <w:sz w:val="28"/>
      <w:szCs w:val="32"/>
    </w:rPr>
  </w:style>
  <w:style w:type="paragraph" w:styleId="7">
    <w:name w:val="Date"/>
    <w:basedOn w:val="1"/>
    <w:next w:val="1"/>
    <w:autoRedefine/>
    <w:qFormat/>
    <w:uiPriority w:val="99"/>
    <w:pPr>
      <w:ind w:left="100" w:leftChars="2500"/>
    </w:p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Title"/>
    <w:basedOn w:val="1"/>
    <w:next w:val="1"/>
    <w:autoRedefine/>
    <w:qFormat/>
    <w:uiPriority w:val="0"/>
    <w:pPr>
      <w:spacing w:after="0" w:line="360" w:lineRule="auto"/>
      <w:ind w:firstLineChars="0"/>
      <w:jc w:val="center"/>
      <w:textAlignment w:val="baseline"/>
    </w:pPr>
    <w:rPr>
      <w:rFonts w:ascii="Times New Roman" w:hAnsi="Times New Roman" w:eastAsia="宋体" w:cs="Times New Roman"/>
      <w:b/>
      <w:bCs/>
      <w:kern w:val="2"/>
      <w:sz w:val="36"/>
      <w:szCs w:val="24"/>
      <w:lang w:val="en-US" w:eastAsia="zh-CN" w:bidi="ar-SA"/>
    </w:rPr>
  </w:style>
  <w:style w:type="paragraph" w:styleId="12">
    <w:name w:val="Body Text First Indent 2"/>
    <w:basedOn w:val="6"/>
    <w:autoRedefine/>
    <w:qFormat/>
    <w:uiPriority w:val="99"/>
    <w:pPr>
      <w:ind w:firstLine="420" w:firstLineChars="20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rPr>
  </w:style>
  <w:style w:type="character" w:styleId="17">
    <w:name w:val="page number"/>
    <w:basedOn w:val="15"/>
    <w:autoRedefine/>
    <w:qFormat/>
    <w:uiPriority w:val="0"/>
  </w:style>
  <w:style w:type="paragraph" w:customStyle="1" w:styleId="18">
    <w:name w:val="Default"/>
    <w:next w:val="19"/>
    <w:autoRedefine/>
    <w:qFormat/>
    <w:uiPriority w:val="99"/>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19">
    <w:name w:val="Char Char10 Char Char Char Char"/>
    <w:basedOn w:val="1"/>
    <w:next w:val="20"/>
    <w:autoRedefine/>
    <w:qFormat/>
    <w:uiPriority w:val="99"/>
    <w:rPr>
      <w:rFonts w:ascii="Calibri" w:hAnsi="Calibri"/>
      <w:kern w:val="0"/>
    </w:rPr>
  </w:style>
  <w:style w:type="paragraph" w:customStyle="1" w:styleId="20">
    <w:name w:val="xl87"/>
    <w:basedOn w:val="1"/>
    <w:next w:val="21"/>
    <w:autoRedefine/>
    <w:qFormat/>
    <w:uiPriority w:val="99"/>
    <w:pPr>
      <w:widowControl/>
      <w:shd w:val="clear" w:color="FFFFFF" w:fill="FFFFFF"/>
      <w:spacing w:before="280" w:after="280"/>
      <w:jc w:val="right"/>
    </w:pPr>
    <w:rPr>
      <w:rFonts w:ascii="宋体" w:hAnsi="Calibri"/>
      <w:kern w:val="0"/>
      <w:sz w:val="24"/>
    </w:rPr>
  </w:style>
  <w:style w:type="paragraph" w:customStyle="1" w:styleId="21">
    <w:name w:val="xl72"/>
    <w:basedOn w:val="1"/>
    <w:next w:val="7"/>
    <w:autoRedefine/>
    <w:qFormat/>
    <w:uiPriority w:val="99"/>
    <w:pPr>
      <w:widowControl/>
      <w:shd w:val="clear" w:color="FFFFFF" w:fill="FFFFFF"/>
      <w:spacing w:before="280" w:after="280"/>
      <w:jc w:val="right"/>
    </w:pPr>
    <w:rPr>
      <w:rFonts w:ascii="宋体" w:hAnsi="Calibri"/>
      <w:kern w:val="0"/>
      <w:sz w:val="24"/>
    </w:rPr>
  </w:style>
  <w:style w:type="paragraph" w:customStyle="1" w:styleId="22">
    <w:name w:val="Heading 1"/>
    <w:basedOn w:val="1"/>
    <w:autoRedefine/>
    <w:qFormat/>
    <w:uiPriority w:val="1"/>
    <w:pPr>
      <w:spacing w:before="30"/>
      <w:ind w:left="1058" w:hanging="3795"/>
      <w:outlineLvl w:val="1"/>
    </w:pPr>
    <w:rPr>
      <w:b/>
      <w:bCs/>
      <w:sz w:val="44"/>
      <w:szCs w:val="44"/>
    </w:rPr>
  </w:style>
  <w:style w:type="paragraph" w:styleId="23">
    <w:name w:val="List Paragraph"/>
    <w:basedOn w:val="1"/>
    <w:autoRedefine/>
    <w:qFormat/>
    <w:uiPriority w:val="1"/>
    <w:pPr>
      <w:spacing w:line="473" w:lineRule="exact"/>
      <w:ind w:left="1562" w:hanging="322"/>
    </w:pPr>
    <w:rPr>
      <w:rFonts w:ascii="Microsoft JhengHei" w:hAnsi="Microsoft JhengHei" w:eastAsia="Microsoft JhengHei" w:cs="Microsoft JhengHei"/>
    </w:rPr>
  </w:style>
  <w:style w:type="paragraph" w:customStyle="1" w:styleId="24">
    <w:name w:val="HtmlNormal"/>
    <w:basedOn w:val="1"/>
    <w:autoRedefine/>
    <w:qFormat/>
    <w:uiPriority w:val="0"/>
    <w:pPr>
      <w:widowControl/>
      <w:spacing w:before="100" w:beforeAutospacing="1" w:after="100" w:afterAutospacing="1"/>
      <w:jc w:val="left"/>
      <w:textAlignment w:val="baseline"/>
    </w:pPr>
    <w:rPr>
      <w:rFonts w:ascii="宋体" w:hAnsi="宋体"/>
      <w:kern w:val="0"/>
      <w:sz w:val="24"/>
    </w:rPr>
  </w:style>
  <w:style w:type="paragraph" w:customStyle="1" w:styleId="25">
    <w:name w:val="无间隔1"/>
    <w:basedOn w:val="1"/>
    <w:autoRedefine/>
    <w:qFormat/>
    <w:uiPriority w:val="1"/>
    <w:pPr>
      <w:spacing w:line="400" w:lineRule="exact"/>
    </w:pPr>
    <w:rPr>
      <w:sz w:val="24"/>
    </w:rPr>
  </w:style>
  <w:style w:type="paragraph" w:customStyle="1" w:styleId="26">
    <w:name w:val="Body text|1"/>
    <w:basedOn w:val="1"/>
    <w:autoRedefine/>
    <w:qFormat/>
    <w:uiPriority w:val="0"/>
    <w:pPr>
      <w:spacing w:line="408" w:lineRule="auto"/>
      <w:ind w:firstLine="400"/>
    </w:pPr>
    <w:rPr>
      <w:rFonts w:ascii="宋体" w:hAnsi="宋体" w:eastAsia="宋体" w:cs="宋体"/>
      <w:color w:val="575757"/>
      <w:sz w:val="26"/>
      <w:szCs w:val="26"/>
      <w:lang w:val="zh-TW" w:eastAsia="zh-TW" w:bidi="zh-TW"/>
    </w:rPr>
  </w:style>
  <w:style w:type="paragraph" w:customStyle="1" w:styleId="27">
    <w:name w:val="BodyText1I"/>
    <w:basedOn w:val="28"/>
    <w:autoRedefine/>
    <w:qFormat/>
    <w:uiPriority w:val="0"/>
    <w:pPr>
      <w:ind w:firstLine="420" w:firstLineChars="100"/>
      <w:jc w:val="both"/>
      <w:textAlignment w:val="baseline"/>
    </w:pPr>
    <w:rPr>
      <w:rFonts w:ascii="Times New Roman" w:hAnsi="Times New Roman" w:eastAsia="宋体"/>
      <w:kern w:val="2"/>
      <w:sz w:val="21"/>
      <w:szCs w:val="24"/>
      <w:lang w:val="en-US" w:eastAsia="zh-CN" w:bidi="ar-SA"/>
    </w:rPr>
  </w:style>
  <w:style w:type="paragraph" w:customStyle="1" w:styleId="28">
    <w:name w:val="BodyText"/>
    <w:basedOn w:val="1"/>
    <w:autoRedefine/>
    <w:qFormat/>
    <w:uiPriority w:val="0"/>
    <w:pPr>
      <w:jc w:val="both"/>
      <w:textAlignment w:val="baseline"/>
    </w:pPr>
    <w:rPr>
      <w:rFonts w:ascii="Times New Roman" w:hAnsi="Times New Roman" w:eastAsia="宋体"/>
      <w:kern w:val="2"/>
      <w:sz w:val="21"/>
      <w:szCs w:val="24"/>
      <w:lang w:val="en-US" w:eastAsia="zh-CN" w:bidi="ar-SA"/>
    </w:rPr>
  </w:style>
  <w:style w:type="table" w:customStyle="1" w:styleId="29">
    <w:name w:val="Table Normal"/>
    <w:autoRedefine/>
    <w:semiHidden/>
    <w:unhideWhenUsed/>
    <w:qFormat/>
    <w:uiPriority w:val="0"/>
    <w:tblPr>
      <w:tblCellMar>
        <w:top w:w="0" w:type="dxa"/>
        <w:left w:w="0" w:type="dxa"/>
        <w:bottom w:w="0" w:type="dxa"/>
        <w:right w:w="0" w:type="dxa"/>
      </w:tblCellMar>
    </w:tblPr>
  </w:style>
  <w:style w:type="character" w:customStyle="1" w:styleId="30">
    <w:name w:val="标题 2 Char"/>
    <w:link w:val="3"/>
    <w:qFormat/>
    <w:uiPriority w:val="0"/>
    <w:rPr>
      <w:rFonts w:ascii="Arial" w:hAnsi="Arial" w:eastAsia="方正小标宋简体" w:cs="方正小标宋简体"/>
      <w:sz w:val="44"/>
      <w:szCs w:val="44"/>
    </w:rPr>
  </w:style>
  <w:style w:type="paragraph" w:customStyle="1" w:styleId="31">
    <w:name w:val="Heading #2|1"/>
    <w:basedOn w:val="1"/>
    <w:qFormat/>
    <w:uiPriority w:val="0"/>
    <w:pPr>
      <w:widowControl w:val="0"/>
      <w:shd w:val="clear" w:color="auto" w:fill="auto"/>
      <w:spacing w:line="629" w:lineRule="exact"/>
      <w:jc w:val="center"/>
      <w:outlineLvl w:val="1"/>
    </w:pPr>
    <w:rPr>
      <w:rFonts w:ascii="宋体" w:hAnsi="宋体" w:eastAsia="宋体" w:cs="宋体"/>
      <w:sz w:val="42"/>
      <w:szCs w:val="42"/>
      <w:u w:val="none"/>
      <w:shd w:val="clear" w:color="auto" w:fill="auto"/>
      <w:lang w:val="zh-TW" w:eastAsia="zh-TW" w:bidi="zh-TW"/>
    </w:rPr>
  </w:style>
  <w:style w:type="paragraph" w:customStyle="1" w:styleId="32">
    <w:name w:val="Other|1"/>
    <w:basedOn w:val="1"/>
    <w:qFormat/>
    <w:uiPriority w:val="0"/>
    <w:pPr>
      <w:widowControl w:val="0"/>
      <w:shd w:val="clear" w:color="auto" w:fill="auto"/>
    </w:pPr>
    <w:rPr>
      <w:rFonts w:ascii="宋体" w:hAnsi="宋体" w:eastAsia="宋体" w:cs="宋体"/>
      <w:sz w:val="19"/>
      <w:szCs w:val="19"/>
      <w:u w:val="none"/>
      <w:shd w:val="clear" w:color="auto" w:fill="auto"/>
      <w:lang w:val="zh-TW" w:eastAsia="zh-TW" w:bidi="zh-TW"/>
    </w:rPr>
  </w:style>
  <w:style w:type="paragraph" w:customStyle="1" w:styleId="33">
    <w:name w:val="Table caption|1"/>
    <w:basedOn w:val="1"/>
    <w:qFormat/>
    <w:uiPriority w:val="0"/>
    <w:pPr>
      <w:widowControl w:val="0"/>
      <w:shd w:val="clear" w:color="auto" w:fill="auto"/>
      <w:ind w:firstLine="310"/>
    </w:pPr>
    <w:rPr>
      <w:rFonts w:ascii="宋体" w:hAnsi="宋体" w:eastAsia="宋体" w:cs="宋体"/>
      <w:sz w:val="19"/>
      <w:szCs w:val="19"/>
      <w:u w:val="none"/>
      <w:shd w:val="clear" w:color="auto" w:fill="auto"/>
      <w:lang w:val="zh-TW" w:eastAsia="zh-TW" w:bidi="zh-TW"/>
    </w:rPr>
  </w:style>
  <w:style w:type="paragraph" w:customStyle="1" w:styleId="34">
    <w:name w:val="Heading #3|1"/>
    <w:basedOn w:val="1"/>
    <w:qFormat/>
    <w:uiPriority w:val="0"/>
    <w:pPr>
      <w:widowControl w:val="0"/>
      <w:shd w:val="clear" w:color="auto" w:fill="auto"/>
      <w:spacing w:after="220" w:line="322" w:lineRule="auto"/>
      <w:jc w:val="center"/>
      <w:outlineLvl w:val="2"/>
    </w:pPr>
    <w:rPr>
      <w:rFonts w:ascii="宋体" w:hAnsi="宋体" w:eastAsia="宋体" w:cs="宋体"/>
      <w:sz w:val="36"/>
      <w:szCs w:val="36"/>
      <w:u w:val="none"/>
      <w:shd w:val="clear" w:color="auto" w:fill="auto"/>
      <w:lang w:val="zh-TW" w:eastAsia="zh-TW" w:bidi="zh-TW"/>
    </w:rPr>
  </w:style>
  <w:style w:type="paragraph" w:customStyle="1" w:styleId="35">
    <w:name w:val="Other|2"/>
    <w:basedOn w:val="1"/>
    <w:qFormat/>
    <w:uiPriority w:val="0"/>
    <w:pPr>
      <w:widowControl w:val="0"/>
      <w:shd w:val="clear" w:color="auto" w:fill="auto"/>
      <w:spacing w:before="260"/>
      <w:jc w:val="center"/>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3047</Words>
  <Characters>3065</Characters>
  <Lines>0</Lines>
  <Paragraphs>0</Paragraphs>
  <TotalTime>2</TotalTime>
  <ScaleCrop>false</ScaleCrop>
  <LinksUpToDate>false</LinksUpToDate>
  <CharactersWithSpaces>3225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2022-08-13T08:18:00Z</dcterms:created>
  <dc:creator>Antelope</dc:creator>
  <cp:lastModifiedBy>卞淳玢</cp:lastModifiedBy>
  <cp:lastPrinted>2024-06-26T02:54:00Z</cp:lastPrinted>
  <dcterms:modified xsi:type="dcterms:W3CDTF">2024-07-10T08:35:26Z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E830C3E282204844905A1513D8239F4A_13</vt:lpwstr>
  </property>
</Properties>
</file>